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N/>
        <w:bidi w:val="0"/>
        <w:adjustRightInd/>
        <w:spacing w:after="0" w:line="600" w:lineRule="exact"/>
        <w:ind w:left="0" w:firstLine="0"/>
        <w:jc w:val="center"/>
        <w:textAlignment w:val="auto"/>
        <w:rPr>
          <w:rFonts w:hint="eastAsia" w:ascii="方正小标宋简体" w:hAnsi="方正小标宋简体" w:eastAsia="方正小标宋简体" w:cs="方正小标宋简体"/>
          <w:b w:val="0"/>
          <w:bCs w:val="0"/>
          <w:w w:val="98"/>
          <w:sz w:val="44"/>
          <w:szCs w:val="44"/>
        </w:rPr>
      </w:pPr>
      <w:bookmarkStart w:id="0" w:name="_GoBack"/>
      <w:bookmarkEnd w:id="0"/>
      <w:r>
        <w:rPr>
          <w:rFonts w:hint="eastAsia" w:ascii="方正小标宋简体" w:hAnsi="方正小标宋简体" w:eastAsia="方正小标宋简体" w:cs="方正小标宋简体"/>
          <w:b w:val="0"/>
          <w:bCs w:val="0"/>
          <w:w w:val="98"/>
          <w:sz w:val="44"/>
          <w:szCs w:val="44"/>
        </w:rPr>
        <w:t>武汉城市圈公共交通一体化促进条例</w:t>
      </w:r>
    </w:p>
    <w:p>
      <w:pPr>
        <w:keepNext w:val="0"/>
        <w:keepLines w:val="0"/>
        <w:pageBreakBefore w:val="0"/>
        <w:widowControl w:val="0"/>
        <w:kinsoku/>
        <w:overflowPunct/>
        <w:topLinePunct w:val="0"/>
        <w:autoSpaceDN/>
        <w:bidi w:val="0"/>
        <w:adjustRightInd/>
        <w:spacing w:after="0" w:line="600" w:lineRule="exact"/>
        <w:ind w:left="0" w:firstLine="0"/>
        <w:jc w:val="center"/>
        <w:textAlignment w:val="auto"/>
        <w:rPr>
          <w:rFonts w:hint="eastAsia" w:ascii="楷体" w:hAnsi="楷体" w:eastAsia="楷体" w:cs="楷体"/>
          <w:bCs/>
          <w:sz w:val="32"/>
          <w:szCs w:val="32"/>
        </w:rPr>
      </w:pPr>
      <w:r>
        <w:rPr>
          <w:rFonts w:hint="eastAsia" w:ascii="楷体" w:hAnsi="楷体" w:eastAsia="楷体" w:cs="楷体"/>
          <w:bCs/>
          <w:sz w:val="32"/>
          <w:szCs w:val="32"/>
        </w:rPr>
        <w:t>（</w:t>
      </w:r>
      <w:r>
        <w:rPr>
          <w:rFonts w:hint="eastAsia" w:ascii="楷体" w:hAnsi="楷体" w:eastAsia="楷体" w:cs="楷体"/>
          <w:bCs/>
          <w:sz w:val="32"/>
          <w:szCs w:val="32"/>
          <w:lang w:eastAsia="zh-CN"/>
        </w:rPr>
        <w:t>草案征求意见</w:t>
      </w:r>
      <w:r>
        <w:rPr>
          <w:rFonts w:hint="eastAsia" w:ascii="楷体" w:hAnsi="楷体" w:eastAsia="楷体" w:cs="楷体"/>
          <w:bCs/>
          <w:sz w:val="32"/>
          <w:szCs w:val="32"/>
        </w:rPr>
        <w:t>稿）</w:t>
      </w:r>
    </w:p>
    <w:p>
      <w:pPr>
        <w:keepNext w:val="0"/>
        <w:keepLines w:val="0"/>
        <w:pageBreakBefore w:val="0"/>
        <w:widowControl w:val="0"/>
        <w:kinsoku/>
        <w:overflowPunct/>
        <w:topLinePunct w:val="0"/>
        <w:autoSpaceDN/>
        <w:bidi w:val="0"/>
        <w:adjustRightInd/>
        <w:spacing w:after="0" w:line="600" w:lineRule="exact"/>
        <w:ind w:left="629" w:firstLine="640" w:firstLineChars="200"/>
        <w:textAlignment w:val="auto"/>
        <w:rPr>
          <w:rFonts w:ascii="仿宋" w:hAnsi="仿宋" w:eastAsia="仿宋" w:cs="仿宋_GB2312"/>
          <w:bCs/>
          <w:sz w:val="32"/>
          <w:szCs w:val="32"/>
        </w:rPr>
      </w:pPr>
    </w:p>
    <w:p>
      <w:pPr>
        <w:spacing w:after="0" w:line="560" w:lineRule="exact"/>
        <w:ind w:left="0" w:firstLine="0"/>
        <w:rPr>
          <w:rFonts w:ascii="仿宋" w:hAnsi="仿宋" w:eastAsia="仿宋" w:cs="仿宋_GB2312"/>
          <w:bCs/>
          <w:color w:val="000000"/>
          <w:sz w:val="32"/>
          <w:szCs w:val="32"/>
        </w:rPr>
      </w:pPr>
      <w:r>
        <w:rPr>
          <w:rFonts w:hint="eastAsia" w:ascii="仿宋" w:hAnsi="仿宋" w:eastAsia="仿宋" w:cs="仿宋_GB2312"/>
          <w:bCs/>
          <w:sz w:val="32"/>
          <w:szCs w:val="32"/>
        </w:rPr>
        <w:t xml:space="preserve">    </w:t>
      </w:r>
      <w:r>
        <w:rPr>
          <w:rFonts w:hint="eastAsia" w:ascii="黑体" w:hAnsi="黑体" w:eastAsia="黑体" w:cs="黑体"/>
          <w:bCs/>
          <w:color w:val="000000"/>
          <w:sz w:val="32"/>
          <w:szCs w:val="32"/>
        </w:rPr>
        <w:t>第一条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为</w:t>
      </w:r>
      <w:r>
        <w:rPr>
          <w:rFonts w:ascii="仿宋" w:hAnsi="仿宋" w:eastAsia="仿宋" w:cs="仿宋_GB2312"/>
          <w:bCs/>
          <w:color w:val="000000"/>
          <w:sz w:val="32"/>
          <w:szCs w:val="32"/>
        </w:rPr>
        <w:t>了</w:t>
      </w:r>
      <w:r>
        <w:rPr>
          <w:rFonts w:hint="eastAsia" w:ascii="仿宋" w:hAnsi="仿宋" w:eastAsia="仿宋" w:cs="仿宋_GB2312"/>
          <w:bCs/>
          <w:color w:val="000000"/>
          <w:sz w:val="32"/>
          <w:szCs w:val="32"/>
        </w:rPr>
        <w:t>推进武汉城市</w:t>
      </w:r>
      <w:r>
        <w:rPr>
          <w:rFonts w:ascii="仿宋" w:hAnsi="仿宋" w:eastAsia="仿宋" w:cs="仿宋_GB2312"/>
          <w:bCs/>
          <w:color w:val="000000"/>
          <w:sz w:val="32"/>
          <w:szCs w:val="32"/>
        </w:rPr>
        <w:t>圈</w:t>
      </w:r>
      <w:r>
        <w:rPr>
          <w:rFonts w:hint="eastAsia" w:ascii="仿宋" w:hAnsi="仿宋" w:eastAsia="仿宋" w:cs="仿宋_GB2312"/>
          <w:bCs/>
          <w:color w:val="000000"/>
          <w:sz w:val="32"/>
          <w:szCs w:val="32"/>
        </w:rPr>
        <w:t>公共交通一体化，加强</w:t>
      </w:r>
      <w:r>
        <w:rPr>
          <w:rFonts w:ascii="仿宋" w:hAnsi="仿宋" w:eastAsia="仿宋" w:cs="仿宋_GB2312"/>
          <w:bCs/>
          <w:color w:val="000000"/>
          <w:sz w:val="32"/>
          <w:szCs w:val="32"/>
        </w:rPr>
        <w:t>区域协同，</w:t>
      </w:r>
      <w:r>
        <w:rPr>
          <w:rFonts w:hint="eastAsia" w:ascii="仿宋" w:hAnsi="仿宋" w:eastAsia="仿宋" w:cs="仿宋_GB2312"/>
          <w:bCs/>
          <w:color w:val="000000"/>
          <w:sz w:val="32"/>
          <w:szCs w:val="32"/>
        </w:rPr>
        <w:t>引导公众绿色出行，助力武汉城市</w:t>
      </w:r>
      <w:r>
        <w:rPr>
          <w:rFonts w:ascii="仿宋" w:hAnsi="仿宋" w:eastAsia="仿宋" w:cs="仿宋_GB2312"/>
          <w:bCs/>
          <w:color w:val="000000"/>
          <w:sz w:val="32"/>
          <w:szCs w:val="32"/>
        </w:rPr>
        <w:t>圈</w:t>
      </w:r>
      <w:r>
        <w:rPr>
          <w:rFonts w:hint="eastAsia" w:ascii="仿宋" w:hAnsi="仿宋" w:eastAsia="仿宋" w:cs="仿宋_GB2312"/>
          <w:bCs/>
          <w:color w:val="000000"/>
          <w:sz w:val="32"/>
          <w:szCs w:val="32"/>
        </w:rPr>
        <w:t>同</w:t>
      </w:r>
      <w:r>
        <w:rPr>
          <w:rFonts w:ascii="仿宋" w:hAnsi="仿宋" w:eastAsia="仿宋" w:cs="仿宋_GB2312"/>
          <w:bCs/>
          <w:color w:val="000000"/>
          <w:sz w:val="32"/>
          <w:szCs w:val="32"/>
        </w:rPr>
        <w:t>城化发展</w:t>
      </w:r>
      <w:r>
        <w:rPr>
          <w:rFonts w:hint="eastAsia" w:ascii="仿宋" w:hAnsi="仿宋" w:eastAsia="仿宋" w:cs="仿宋_GB2312"/>
          <w:bCs/>
          <w:color w:val="000000"/>
          <w:sz w:val="32"/>
          <w:szCs w:val="32"/>
        </w:rPr>
        <w:t>，根据有关法律法规，结合实际，制定本条例。</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第二条</w:t>
      </w:r>
      <w:r>
        <w:rPr>
          <w:rFonts w:hint="eastAsia" w:ascii="黑体" w:hAnsi="黑体" w:eastAsia="黑体" w:cs="黑体"/>
          <w:bCs/>
          <w:sz w:val="32"/>
          <w:szCs w:val="32"/>
          <w:lang w:val="en-US" w:eastAsia="zh-CN"/>
        </w:rPr>
        <w:t xml:space="preserve">  </w:t>
      </w:r>
      <w:r>
        <w:rPr>
          <w:rFonts w:hint="eastAsia" w:ascii="仿宋" w:hAnsi="仿宋" w:eastAsia="仿宋" w:cs="仿宋_GB2312"/>
          <w:bCs/>
          <w:color w:val="000000"/>
          <w:sz w:val="32"/>
          <w:szCs w:val="32"/>
        </w:rPr>
        <w:t>本条例适用于武汉城市圈公共交通一体化的规划编制、线路审批、运营管理、执法监督等活动。</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本条例所称武汉城市圈（以下简称城市圈），包括武汉、黄石、鄂州、孝感、黄冈、咸宁、仙桃、天门、潜江等九市。</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本条例所称城市圈公共交通，是指城市圈市际之间，按照核准的线路、站点、时间、票价，利用公共汽车、公交化运营的市际客运班线、城市轨道交通、市域（郊）铁路等，为公众出行提供公共客运服务的活动。</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第三条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城市圈公共交通一体化发展遵循公共交通规划同编、基础设施同建、运营线路同定、政策支持同保、服务监管同标的原则。</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第四条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w:t>
      </w:r>
      <w:r>
        <w:rPr>
          <w:rFonts w:hint="eastAsia" w:ascii="仿宋" w:hAnsi="仿宋" w:eastAsia="仿宋" w:cs="仿宋_GB2312"/>
          <w:bCs/>
          <w:color w:val="000000"/>
          <w:sz w:val="32"/>
          <w:szCs w:val="32"/>
          <w:lang w:val="en-US" w:eastAsia="zh-CN"/>
        </w:rPr>
        <w:t>城</w:t>
      </w:r>
      <w:r>
        <w:rPr>
          <w:rFonts w:hint="eastAsia" w:ascii="仿宋" w:hAnsi="仿宋" w:eastAsia="仿宋" w:cs="仿宋_GB2312"/>
          <w:bCs/>
          <w:color w:val="000000"/>
          <w:sz w:val="32"/>
          <w:szCs w:val="32"/>
        </w:rPr>
        <w:t>市人民政府应当建立区域协同决策机制，共同研究城市圈公共交通规划同编、设施同建等重大事项，协调解决公共交通一体化发展中的重大问题。</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城市圈</w:t>
      </w:r>
      <w:r>
        <w:rPr>
          <w:rFonts w:hint="eastAsia" w:ascii="仿宋" w:hAnsi="仿宋" w:eastAsia="仿宋" w:cs="仿宋_GB2312"/>
          <w:bCs/>
          <w:color w:val="000000"/>
          <w:sz w:val="32"/>
          <w:szCs w:val="32"/>
          <w:lang w:val="en-US" w:eastAsia="zh-CN"/>
        </w:rPr>
        <w:t>城</w:t>
      </w:r>
      <w:r>
        <w:rPr>
          <w:rFonts w:hint="eastAsia" w:ascii="仿宋" w:hAnsi="仿宋" w:eastAsia="仿宋" w:cs="仿宋_GB2312"/>
          <w:bCs/>
          <w:color w:val="000000"/>
          <w:sz w:val="32"/>
          <w:szCs w:val="32"/>
        </w:rPr>
        <w:t>市交通运输主管部门应当建立部门联席会议制度，协商解决公共交通一体化发展中的线路审批、运营监管、补贴机制、协同执法等具体事项。</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第五条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城市圈各市人民政府应当根据城市</w:t>
      </w:r>
      <w:r>
        <w:rPr>
          <w:rFonts w:ascii="仿宋" w:hAnsi="仿宋" w:eastAsia="仿宋" w:cs="仿宋_GB2312"/>
          <w:bCs/>
          <w:color w:val="000000"/>
          <w:sz w:val="32"/>
          <w:szCs w:val="32"/>
        </w:rPr>
        <w:t>圈</w:t>
      </w:r>
      <w:r>
        <w:rPr>
          <w:rFonts w:hint="eastAsia" w:ascii="仿宋" w:hAnsi="仿宋" w:eastAsia="仿宋" w:cs="仿宋_GB2312"/>
          <w:bCs/>
          <w:color w:val="000000"/>
          <w:sz w:val="32"/>
          <w:szCs w:val="32"/>
        </w:rPr>
        <w:t>国</w:t>
      </w:r>
      <w:r>
        <w:rPr>
          <w:rFonts w:ascii="仿宋" w:hAnsi="仿宋" w:eastAsia="仿宋" w:cs="仿宋_GB2312"/>
          <w:bCs/>
          <w:color w:val="000000"/>
          <w:sz w:val="32"/>
          <w:szCs w:val="32"/>
        </w:rPr>
        <w:t>土空间规划</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结合</w:t>
      </w:r>
      <w:r>
        <w:rPr>
          <w:rFonts w:hint="eastAsia" w:ascii="仿宋" w:hAnsi="仿宋" w:eastAsia="仿宋" w:cs="仿宋_GB2312"/>
          <w:bCs/>
          <w:color w:val="000000"/>
          <w:sz w:val="32"/>
          <w:szCs w:val="32"/>
        </w:rPr>
        <w:t>同城化发展要求和公众出行需求，协同编制城市圈公共交通一体化发展相关规划。</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市域（郊）铁路、城市轨道</w:t>
      </w:r>
      <w:r>
        <w:rPr>
          <w:rFonts w:hint="eastAsia" w:ascii="仿宋" w:hAnsi="仿宋" w:eastAsia="仿宋" w:cs="仿宋_GB2312"/>
          <w:bCs/>
          <w:color w:val="000000"/>
          <w:sz w:val="32"/>
          <w:szCs w:val="32"/>
          <w:lang w:val="en-US" w:eastAsia="zh-CN"/>
        </w:rPr>
        <w:t>的</w:t>
      </w:r>
      <w:r>
        <w:rPr>
          <w:rFonts w:hint="eastAsia" w:ascii="仿宋" w:hAnsi="仿宋" w:eastAsia="仿宋" w:cs="仿宋_GB2312"/>
          <w:bCs/>
          <w:color w:val="000000"/>
          <w:sz w:val="32"/>
          <w:szCs w:val="32"/>
        </w:rPr>
        <w:t>交通规划编制，</w:t>
      </w:r>
      <w:r>
        <w:rPr>
          <w:rFonts w:hint="eastAsia" w:ascii="仿宋" w:hAnsi="仿宋" w:eastAsia="仿宋" w:cs="仿宋_GB2312"/>
          <w:bCs/>
          <w:color w:val="000000"/>
          <w:sz w:val="32"/>
          <w:szCs w:val="32"/>
          <w:lang w:val="en-US" w:eastAsia="zh-CN"/>
        </w:rPr>
        <w:t>按照</w:t>
      </w:r>
      <w:r>
        <w:rPr>
          <w:rFonts w:ascii="仿宋" w:hAnsi="仿宋" w:eastAsia="仿宋" w:cs="仿宋_GB2312"/>
          <w:bCs/>
          <w:color w:val="000000"/>
          <w:sz w:val="32"/>
          <w:szCs w:val="32"/>
        </w:rPr>
        <w:t>国家、省有关规定</w:t>
      </w:r>
      <w:r>
        <w:rPr>
          <w:rFonts w:hint="eastAsia" w:ascii="仿宋" w:hAnsi="仿宋" w:eastAsia="仿宋" w:cs="仿宋_GB2312"/>
          <w:bCs/>
          <w:color w:val="000000"/>
          <w:sz w:val="32"/>
          <w:szCs w:val="32"/>
        </w:rPr>
        <w:t>执行。</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第六条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城市圈各市人民政府应当协同推进</w:t>
      </w:r>
      <w:r>
        <w:rPr>
          <w:rFonts w:hint="eastAsia" w:ascii="仿宋" w:hAnsi="仿宋" w:eastAsia="仿宋" w:cs="仿宋_GB2312"/>
          <w:bCs/>
          <w:color w:val="000000"/>
          <w:sz w:val="32"/>
          <w:szCs w:val="32"/>
          <w:lang w:val="en-US" w:eastAsia="zh-CN"/>
        </w:rPr>
        <w:t>与</w:t>
      </w:r>
      <w:r>
        <w:rPr>
          <w:rFonts w:hint="eastAsia" w:ascii="仿宋" w:hAnsi="仿宋" w:eastAsia="仿宋" w:cs="仿宋_GB2312"/>
          <w:bCs/>
          <w:color w:val="000000"/>
          <w:sz w:val="32"/>
          <w:szCs w:val="32"/>
        </w:rPr>
        <w:t>市际公共汽车线路配套的停车场、保养场、候车亭、站点、站牌、电动公交车充电设施等基础设施建设。</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各市公共交通基础设施应当向城市圈其他城市开放，使用条件与本市公共交通经营者相同。</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 xml:space="preserve">鼓励客运班线客运站与公共交通站点、场站有序衔接和融合建设。推进公共交通站点向公交化运营的市际客运班线车辆开放共享。加强既有客运班线客运站的升级改造和功能完善，鼓励向公共汽车开放。 </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第七条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城市圈城市开通市际公共汽车线路，应当按照协商一致的原则共同确定线路开通方案。</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市际公共汽车线路开通方案，包含经营者、线路走向、站点设置、开收班时间、发车频次、票价及补贴、场站使用、投诉处理、应急处置等内容。</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市际公共汽车线路开通应当考虑与铁路、机场、码头的一体化换乘与衔接。</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第八条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市际公共汽车线路由途经地交通运输主管部门共同审批。</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 xml:space="preserve">市际公共汽车线路在城市圈城市行政区域内途经一个县（市、区）行政区域的，由县（市、区）交通运输主管部门审批；途经两个以上县（市、区）行政区域的，由市交通运输主管部门审批。 </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第九条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城市圈公共汽车线路经营者不得擅自停运或者变更线路、站点。确需停运或者变更线路、站点的，应当经原共同审批</w:t>
      </w:r>
      <w:r>
        <w:rPr>
          <w:rFonts w:hint="eastAsia" w:ascii="仿宋" w:hAnsi="仿宋" w:eastAsia="仿宋" w:cs="仿宋_GB2312"/>
          <w:bCs/>
          <w:color w:val="000000"/>
          <w:sz w:val="32"/>
          <w:szCs w:val="32"/>
          <w:lang w:val="en-US" w:eastAsia="zh-CN"/>
        </w:rPr>
        <w:t>的</w:t>
      </w:r>
      <w:r>
        <w:rPr>
          <w:rFonts w:hint="eastAsia" w:ascii="仿宋" w:hAnsi="仿宋" w:eastAsia="仿宋" w:cs="仿宋_GB2312"/>
          <w:bCs/>
          <w:color w:val="000000"/>
          <w:sz w:val="32"/>
          <w:szCs w:val="32"/>
        </w:rPr>
        <w:t>城市交通运输主管部门同意后，按照经营者注册地所在城市公共汽车线路管理的相关规定执行，并依法向社会公告。</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城市圈各市人民政府应当协同推进城市公共汽车线网延伸、市际客运班线公交化改造，提升</w:t>
      </w:r>
      <w:r>
        <w:rPr>
          <w:rFonts w:ascii="仿宋" w:hAnsi="仿宋" w:eastAsia="仿宋" w:cs="仿宋_GB2312"/>
          <w:bCs/>
          <w:color w:val="000000"/>
          <w:sz w:val="32"/>
          <w:szCs w:val="32"/>
        </w:rPr>
        <w:t>信息化</w:t>
      </w:r>
      <w:r>
        <w:rPr>
          <w:rFonts w:hint="eastAsia" w:ascii="仿宋" w:hAnsi="仿宋" w:eastAsia="仿宋" w:cs="仿宋_GB2312"/>
          <w:bCs/>
          <w:color w:val="000000"/>
          <w:sz w:val="32"/>
          <w:szCs w:val="32"/>
        </w:rPr>
        <w:t>、标准化、规范化服务能力。</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第十一条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城市圈相互延伸的城市轨道交通线路和市域（郊）铁路，由起讫地、途经地城市人民政府及其发展和改革、自然资源和规划、城乡建设、交通运输等部门协同开展规划、建设、运营等管理</w:t>
      </w:r>
      <w:r>
        <w:rPr>
          <w:rFonts w:ascii="仿宋" w:hAnsi="仿宋" w:eastAsia="仿宋" w:cs="仿宋_GB2312"/>
          <w:bCs/>
          <w:color w:val="000000"/>
          <w:sz w:val="32"/>
          <w:szCs w:val="32"/>
        </w:rPr>
        <w:t>和服务</w:t>
      </w:r>
      <w:r>
        <w:rPr>
          <w:rFonts w:hint="eastAsia" w:ascii="仿宋" w:hAnsi="仿宋" w:eastAsia="仿宋" w:cs="仿宋_GB2312"/>
          <w:bCs/>
          <w:color w:val="000000"/>
          <w:sz w:val="32"/>
          <w:szCs w:val="32"/>
        </w:rPr>
        <w:t>工作。</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第十二条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城市圈城市人民政府应当综合考虑社会承受能力、财政保障水平、企业运营成本、服务内容、交通供求和竞争状况等因素，建立城市圈公共交通价格形成机制，合理确定票制票价，更好满足公众出行需求。</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第十三条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城市圈各市人民政府应当协同推进城市圈公共交通一卡通行、优惠同享、数据开放，方便公众出行和监督管理。</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第十四条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w:t>
      </w:r>
      <w:r>
        <w:rPr>
          <w:rFonts w:hint="eastAsia" w:ascii="仿宋" w:hAnsi="仿宋" w:eastAsia="仿宋" w:cs="仿宋_GB2312"/>
          <w:bCs/>
          <w:color w:val="000000"/>
          <w:sz w:val="32"/>
          <w:szCs w:val="32"/>
          <w:lang w:eastAsia="zh-CN"/>
        </w:rPr>
        <w:t>各</w:t>
      </w:r>
      <w:r>
        <w:rPr>
          <w:rFonts w:hint="eastAsia" w:ascii="仿宋" w:hAnsi="仿宋" w:eastAsia="仿宋" w:cs="仿宋_GB2312"/>
          <w:bCs/>
          <w:color w:val="000000"/>
          <w:sz w:val="32"/>
          <w:szCs w:val="32"/>
        </w:rPr>
        <w:t>市交通运输主管部门应当协同建立公共</w:t>
      </w:r>
      <w:r>
        <w:rPr>
          <w:rFonts w:ascii="仿宋" w:hAnsi="仿宋" w:eastAsia="仿宋" w:cs="仿宋_GB2312"/>
          <w:bCs/>
          <w:color w:val="000000"/>
          <w:sz w:val="32"/>
          <w:szCs w:val="32"/>
        </w:rPr>
        <w:t>交通</w:t>
      </w:r>
      <w:r>
        <w:rPr>
          <w:rFonts w:hint="eastAsia" w:ascii="仿宋" w:hAnsi="仿宋" w:eastAsia="仿宋" w:cs="仿宋_GB2312"/>
          <w:bCs/>
          <w:color w:val="000000"/>
          <w:sz w:val="32"/>
          <w:szCs w:val="32"/>
        </w:rPr>
        <w:t>数据共享、联合监管、协同执法等机制，相互支持调查取证等执法活动。</w:t>
      </w:r>
    </w:p>
    <w:p>
      <w:pPr>
        <w:pStyle w:val="2"/>
        <w:spacing w:line="560" w:lineRule="exact"/>
        <w:ind w:left="11" w:leftChars="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第十五条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城市圈各市交通运输主管部门应当协同制定公共交通运营突发事件应急预案，建立运营突发事件应急演练协调机制，定期组织联合应急演练。</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市际公共交通运营突发事件由事件发生地交通运输主管部门依法处理，并及时通知相关城市交通运输主管部门。</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第十六条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城市圈各市交通运输主管部门应当</w:t>
      </w:r>
      <w:r>
        <w:rPr>
          <w:rFonts w:hint="eastAsia" w:ascii="仿宋" w:hAnsi="仿宋" w:eastAsia="仿宋" w:cs="仿宋_GB2312"/>
          <w:bCs/>
          <w:color w:val="000000"/>
          <w:sz w:val="32"/>
          <w:szCs w:val="32"/>
          <w:lang w:val="en-US" w:eastAsia="zh-CN"/>
        </w:rPr>
        <w:t>协同</w:t>
      </w:r>
      <w:r>
        <w:rPr>
          <w:rFonts w:hint="eastAsia" w:ascii="仿宋" w:hAnsi="仿宋" w:eastAsia="仿宋" w:cs="仿宋_GB2312"/>
          <w:bCs/>
          <w:color w:val="000000"/>
          <w:sz w:val="32"/>
          <w:szCs w:val="32"/>
        </w:rPr>
        <w:t>建立服务质量联合评价机制，对公共交通经营者的运营服务、设施管理、</w:t>
      </w:r>
      <w:r>
        <w:rPr>
          <w:rFonts w:ascii="仿宋" w:hAnsi="仿宋" w:eastAsia="仿宋" w:cs="仿宋_GB2312"/>
          <w:bCs/>
          <w:color w:val="000000"/>
          <w:sz w:val="32"/>
          <w:szCs w:val="32"/>
        </w:rPr>
        <w:t>安全管理</w:t>
      </w:r>
      <w:r>
        <w:rPr>
          <w:rFonts w:hint="eastAsia" w:ascii="仿宋" w:hAnsi="仿宋" w:eastAsia="仿宋" w:cs="仿宋_GB2312"/>
          <w:bCs/>
          <w:color w:val="000000"/>
          <w:sz w:val="32"/>
          <w:szCs w:val="32"/>
        </w:rPr>
        <w:t>、乘客满意度等服务质量情况开展评价。</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城市圈各市交通运输主管部门应当</w:t>
      </w:r>
      <w:r>
        <w:rPr>
          <w:rFonts w:hint="eastAsia" w:ascii="仿宋" w:hAnsi="仿宋" w:eastAsia="仿宋" w:cs="仿宋_GB2312"/>
          <w:bCs/>
          <w:color w:val="000000"/>
          <w:sz w:val="32"/>
          <w:szCs w:val="32"/>
          <w:lang w:val="en-US" w:eastAsia="zh-CN"/>
        </w:rPr>
        <w:t>协同</w:t>
      </w:r>
      <w:r>
        <w:rPr>
          <w:rFonts w:hint="eastAsia" w:ascii="仿宋" w:hAnsi="仿宋" w:eastAsia="仿宋" w:cs="仿宋_GB2312"/>
          <w:bCs/>
          <w:color w:val="000000"/>
          <w:sz w:val="32"/>
          <w:szCs w:val="32"/>
        </w:rPr>
        <w:t>建立公共交通投诉“一号通”等投诉处理协同机制。投诉内容涉及公共交通经营者服务质量的，由经营者注册地交通运输主管部门依法处理；涉及线路、站点设置的，由线路、站点所在地交通运输主管部门依法处理，必要时征求线路途经地交通运输主管部门的意见。</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第十七条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城市圈城市人民政府应当鼓励、</w:t>
      </w:r>
      <w:r>
        <w:rPr>
          <w:rFonts w:ascii="仿宋" w:hAnsi="仿宋" w:eastAsia="仿宋" w:cs="仿宋_GB2312"/>
          <w:bCs/>
          <w:color w:val="000000"/>
          <w:sz w:val="32"/>
          <w:szCs w:val="32"/>
        </w:rPr>
        <w:t>支持</w:t>
      </w:r>
      <w:r>
        <w:rPr>
          <w:rFonts w:hint="eastAsia" w:ascii="仿宋" w:hAnsi="仿宋" w:eastAsia="仿宋" w:cs="仿宋_GB2312"/>
          <w:bCs/>
          <w:color w:val="000000"/>
          <w:sz w:val="32"/>
          <w:szCs w:val="32"/>
        </w:rPr>
        <w:t>开通市际公共汽车线路，按照有关规定给予财政补贴和政策支持。</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城市轨道交通线路补贴资金，按照轨道交通运营企业与相关城市协商签订的协议执行。</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市域（郊）铁路补贴资金，按照国家、省有关规定执行。</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第十八条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城市圈城市人民政府应当定期向本市人民代表大会常务委员会报告城市圈公共交通一体化发展情况。</w:t>
      </w:r>
    </w:p>
    <w:p>
      <w:pPr>
        <w:spacing w:after="0" w:line="560" w:lineRule="exact"/>
        <w:ind w:left="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城市圈城市人民代表大会常务委员会可以对城市圈公共交通一体化发展工作协同开展监督检查。</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第十九条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城市圈各市行政区域内的公共交通管理，由各市根据本市实际制定相应的地方性法规、政府规章和其他规范性文件。</w:t>
      </w:r>
    </w:p>
    <w:p>
      <w:pPr>
        <w:spacing w:after="0" w:line="560" w:lineRule="exact"/>
        <w:ind w:left="0" w:firstLine="640" w:firstLineChars="200"/>
        <w:rPr>
          <w:rFonts w:ascii="仿宋" w:hAnsi="仿宋" w:eastAsia="仿宋" w:cs="仿宋_GB2312"/>
          <w:bCs/>
          <w:color w:val="000000"/>
          <w:sz w:val="32"/>
          <w:szCs w:val="32"/>
        </w:rPr>
      </w:pPr>
      <w:r>
        <w:rPr>
          <w:rFonts w:hint="eastAsia" w:ascii="黑体" w:hAnsi="黑体" w:eastAsia="黑体" w:cs="黑体"/>
          <w:bCs/>
          <w:color w:val="000000"/>
          <w:sz w:val="32"/>
          <w:szCs w:val="32"/>
        </w:rPr>
        <w:t>第二十条</w:t>
      </w:r>
      <w:r>
        <w:rPr>
          <w:rFonts w:hint="eastAsia" w:ascii="黑体" w:hAnsi="黑体" w:eastAsia="黑体" w:cs="黑体"/>
          <w:bCs/>
          <w:color w:val="000000"/>
          <w:sz w:val="32"/>
          <w:szCs w:val="32"/>
          <w:lang w:val="en-US" w:eastAsia="zh-CN"/>
        </w:rPr>
        <w:t xml:space="preserve">  </w:t>
      </w:r>
      <w:r>
        <w:rPr>
          <w:rFonts w:hint="eastAsia" w:ascii="仿宋" w:hAnsi="仿宋" w:eastAsia="仿宋" w:cs="仿宋_GB2312"/>
          <w:bCs/>
          <w:color w:val="000000"/>
          <w:sz w:val="32"/>
          <w:szCs w:val="32"/>
        </w:rPr>
        <w:t>本条例自</w:t>
      </w: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年</w:t>
      </w: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月</w:t>
      </w: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日施行。</w:t>
      </w:r>
    </w:p>
    <w:p>
      <w:pPr>
        <w:pStyle w:val="4"/>
        <w:rPr>
          <w:rFonts w:hint="eastAsia" w:ascii="仿宋" w:hAnsi="仿宋" w:eastAsia="仿宋" w:cs="仿宋_GB2312"/>
          <w:bCs/>
          <w:sz w:val="32"/>
          <w:szCs w:val="32"/>
        </w:rPr>
      </w:pPr>
    </w:p>
    <w:p>
      <w:pPr>
        <w:rPr>
          <w:rFonts w:hint="default"/>
          <w:lang w:val="en-US" w:eastAsia="zh-CN"/>
        </w:rPr>
      </w:pP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0F8E"/>
    <w:rsid w:val="2FBC451D"/>
    <w:rsid w:val="3FBF68C5"/>
    <w:rsid w:val="596C5420"/>
    <w:rsid w:val="6CF7F9D6"/>
    <w:rsid w:val="75CD15E6"/>
    <w:rsid w:val="784F0242"/>
    <w:rsid w:val="7F3FE33D"/>
    <w:rsid w:val="7FEABE67"/>
    <w:rsid w:val="9B9EF1B9"/>
    <w:rsid w:val="B4650CE9"/>
    <w:rsid w:val="DD6F3EC7"/>
    <w:rsid w:val="E5DE8768"/>
    <w:rsid w:val="EBDFEDC3"/>
    <w:rsid w:val="EFFBF31D"/>
    <w:rsid w:val="FC2B1D47"/>
    <w:rsid w:val="FFFF0F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next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2022-07-08T09:26:00Z</dcterms:created>
  <dc:creator>uos</dc:creator>
  <cp:lastModifiedBy>admin123</cp:lastModifiedBy>
  <dcterms:modified xsi:type="dcterms:W3CDTF">2022-07-07T17:43:28Z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