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jc w:val="center"/>
        <w:rPr>
          <w:b/>
          <w:bCs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县（市）</w:t>
      </w: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国三及以下排放标准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营运</w:t>
      </w: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柴油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货车2024年报废更新需求明细表</w:t>
      </w:r>
    </w:p>
    <w:p>
      <w:pPr>
        <w:ind w:firstLine="1470" w:firstLineChars="7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填报企业（个人）：                                        联系人：            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955"/>
        <w:gridCol w:w="1226"/>
        <w:gridCol w:w="1221"/>
        <w:gridCol w:w="1902"/>
        <w:gridCol w:w="1199"/>
        <w:gridCol w:w="1988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车牌号码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车属单位</w:t>
            </w:r>
            <w:r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或</w:t>
            </w:r>
            <w:r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个人)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车辆类型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公安机关确定的车辆强制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报废时间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(×年×月）</w:t>
            </w:r>
          </w:p>
        </w:tc>
        <w:tc>
          <w:tcPr>
            <w:tcW w:w="554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是否新购车辆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中型 </w:t>
            </w:r>
          </w:p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重型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新购国六车辆</w:t>
            </w:r>
          </w:p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新购新能源车辆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中型 </w:t>
            </w:r>
          </w:p>
          <w:p>
            <w:pPr>
              <w:rPr>
                <w:rFonts w:ascii="Times New Roman" w:hAnsi="Times New Roman" w:cs="Times New Roman"/>
                <w:color w:val="auto"/>
                <w:kern w:val="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重型（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2轴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3轴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4轴及以上）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中型 </w:t>
            </w:r>
          </w:p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重型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新购国六车辆</w:t>
            </w:r>
          </w:p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新购新能源车辆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中型 </w:t>
            </w:r>
          </w:p>
          <w:p>
            <w:pPr>
              <w:rPr>
                <w:rFonts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重型（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2轴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3轴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4轴及以上）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1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中型 </w:t>
            </w:r>
          </w:p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重型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新购国六车辆</w:t>
            </w:r>
          </w:p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新购新能源车辆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中型 </w:t>
            </w:r>
          </w:p>
          <w:p>
            <w:pPr>
              <w:rPr>
                <w:rFonts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重型（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2轴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3轴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4轴及以上）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中型 </w:t>
            </w:r>
          </w:p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重型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新购国六车辆</w:t>
            </w:r>
          </w:p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新购新能源车辆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中型 </w:t>
            </w:r>
          </w:p>
          <w:p>
            <w:pPr>
              <w:rPr>
                <w:rFonts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重型（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2轴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3轴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4轴及以上）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中型 </w:t>
            </w:r>
          </w:p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重型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新购国六车辆</w:t>
            </w:r>
          </w:p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新购新能源车辆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t>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中型 </w:t>
            </w:r>
          </w:p>
          <w:p>
            <w:pPr>
              <w:rPr>
                <w:rFonts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重型（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2轴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3轴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4轴及以上）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noWrap w:val="0"/>
            <w:vAlign w:val="top"/>
          </w:tcPr>
          <w:p>
            <w:pPr>
              <w:rPr>
                <w:rFonts w:hint="default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......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rFonts w:cs="Times New Roman"/>
                <w:color w:val="auto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color w:val="auto"/>
                <w:kern w:val="0"/>
                <w:szCs w:val="20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备注：1.企业填报需加盖公章。</w:t>
      </w:r>
    </w:p>
    <w:p>
      <w:pPr>
        <w:ind w:left="630"/>
        <w:rPr>
          <w:color w:val="auto"/>
          <w:highlight w:val="none"/>
        </w:rPr>
      </w:pPr>
      <w:r>
        <w:rPr>
          <w:color w:val="auto"/>
          <w:highlight w:val="none"/>
        </w:rPr>
        <w:t>2.</w:t>
      </w:r>
      <w:r>
        <w:rPr>
          <w:rFonts w:hint="eastAsia"/>
          <w:color w:val="auto"/>
          <w:highlight w:val="none"/>
        </w:rPr>
        <w:t>“车辆类型”：中型—总质量大于等于4500kg且小于 12000kg 的载货汽车；重型—总质量大于等于12000kg的载货汽车。</w:t>
      </w:r>
    </w:p>
    <w:p>
      <w:pPr>
        <w:ind w:left="630"/>
        <w:rPr>
          <w:color w:val="auto"/>
          <w:highlight w:val="none"/>
        </w:rPr>
      </w:pPr>
      <w:r>
        <w:rPr>
          <w:color w:val="auto"/>
          <w:highlight w:val="none"/>
        </w:rPr>
        <w:t>3</w:t>
      </w:r>
      <w:r>
        <w:rPr>
          <w:rFonts w:hint="eastAsia"/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eastAsia="zh-CN"/>
        </w:rPr>
        <w:t>补贴政策实施期限</w:t>
      </w:r>
      <w:r>
        <w:rPr>
          <w:rFonts w:hint="eastAsia"/>
          <w:color w:val="auto"/>
          <w:highlight w:val="none"/>
        </w:rPr>
        <w:t>为2024年7月30日至2024年12月31日。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A30A"/>
    <w:rsid w:val="7FFFA30A"/>
    <w:rsid w:val="BEFFE305"/>
    <w:rsid w:val="DF311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cs="Times New Roman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6.66666666666667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2024-08-03T01:51:00Z</dcterms:created>
  <dc:creator>jtt-1111</dc:creator>
  <cp:lastModifiedBy>uos</cp:lastModifiedBy>
  <dcterms:modified xsi:type="dcterms:W3CDTF">2024-08-02T11:11:30Z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