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bookmarkStart w:id="11" w:name="_GoBack"/>
      <w:r>
        <w:rPr>
          <w:rFonts w:hint="eastAsia" w:ascii="方正小标宋简体" w:hAnsi="方正小标宋简体" w:eastAsia="方正小标宋简体" w:cs="方正小标宋简体"/>
          <w:sz w:val="44"/>
          <w:szCs w:val="44"/>
        </w:rPr>
        <w:t>湖北省</w:t>
      </w:r>
      <w:bookmarkStart w:id="0" w:name="OLE_LINK1"/>
      <w:r>
        <w:rPr>
          <w:rFonts w:hint="eastAsia" w:ascii="方正小标宋简体" w:hAnsi="方正小标宋简体" w:eastAsia="方正小标宋简体" w:cs="方正小标宋简体"/>
          <w:sz w:val="44"/>
          <w:szCs w:val="44"/>
        </w:rPr>
        <w:t>高速公路服务区（停车区）运营服务</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质量监督管理办法</w:t>
      </w:r>
    </w:p>
    <w:bookmarkEnd w:id="0"/>
    <w:p>
      <w:pPr>
        <w:spacing w:line="560" w:lineRule="exact"/>
        <w:jc w:val="center"/>
        <w:rPr>
          <w:rFonts w:hint="eastAsia" w:ascii="楷体" w:hAnsi="楷体" w:eastAsia="楷体" w:cs="楷体"/>
        </w:rPr>
      </w:pPr>
      <w:r>
        <w:rPr>
          <w:rFonts w:hint="eastAsia" w:ascii="楷体" w:hAnsi="楷体" w:eastAsia="楷体" w:cs="楷体"/>
        </w:rPr>
        <w:t>（</w:t>
      </w:r>
      <w:r>
        <w:rPr>
          <w:rFonts w:hint="eastAsia" w:ascii="楷体" w:hAnsi="楷体" w:eastAsia="楷体" w:cs="楷体"/>
          <w:lang w:eastAsia="zh-CN"/>
        </w:rPr>
        <w:t>征求意见稿</w:t>
      </w:r>
      <w:r>
        <w:rPr>
          <w:rFonts w:hint="eastAsia" w:ascii="楷体" w:hAnsi="楷体" w:eastAsia="楷体" w:cs="楷体"/>
        </w:rPr>
        <w:t>）</w:t>
      </w:r>
    </w:p>
    <w:bookmarkEnd w:id="11"/>
    <w:p>
      <w:pPr>
        <w:pStyle w:val="2"/>
        <w:spacing w:line="560" w:lineRule="exact"/>
        <w:ind w:left="632" w:firstLine="632"/>
      </w:pPr>
    </w:p>
    <w:p>
      <w:pPr>
        <w:spacing w:line="560" w:lineRule="exact"/>
        <w:jc w:val="center"/>
        <w:rPr>
          <w:rFonts w:hint="eastAsia" w:ascii="黑体" w:hAnsi="黑体" w:eastAsia="黑体" w:cs="黑体"/>
        </w:rPr>
      </w:pPr>
      <w:r>
        <w:rPr>
          <w:rFonts w:hint="eastAsia" w:ascii="黑体" w:hAnsi="黑体" w:eastAsia="黑体" w:cs="黑体"/>
        </w:rPr>
        <w:t>第一章  总则</w:t>
      </w:r>
    </w:p>
    <w:p>
      <w:pPr>
        <w:spacing w:line="560" w:lineRule="exact"/>
        <w:ind w:firstLine="632" w:firstLineChars="200"/>
      </w:pPr>
      <w:r>
        <w:rPr>
          <w:rFonts w:hint="eastAsia"/>
        </w:rPr>
        <w:t xml:space="preserve">第一条  </w:t>
      </w:r>
      <w:r>
        <w:rPr>
          <w:rFonts w:hint="eastAsia"/>
          <w:highlight w:val="yellow"/>
        </w:rPr>
        <w:t>为加强全省高速公路服务区（停车区）运营服务质量监管，提升服务质量和管理水平</w:t>
      </w:r>
      <w:r>
        <w:rPr>
          <w:rFonts w:hint="eastAsia"/>
        </w:rPr>
        <w:t>，更好满足公众出行需求，根据《中华人民共和国公路法》《湖北省高速公路管理条例》《交通运输部关于进一步提升高速公路服务区服务质量的意见》等</w:t>
      </w:r>
      <w:r>
        <w:rPr>
          <w:rFonts w:hint="eastAsia"/>
          <w:highlight w:val="yellow"/>
        </w:rPr>
        <w:t>法律法规有关规定，特</w:t>
      </w:r>
      <w:r>
        <w:rPr>
          <w:rFonts w:hint="eastAsia"/>
        </w:rPr>
        <w:t>制定本办法。</w:t>
      </w:r>
    </w:p>
    <w:p>
      <w:pPr>
        <w:spacing w:line="560" w:lineRule="exact"/>
        <w:ind w:firstLine="632" w:firstLineChars="200"/>
      </w:pPr>
      <w:r>
        <w:rPr>
          <w:rFonts w:hint="eastAsia"/>
        </w:rPr>
        <w:t>第二条  本</w:t>
      </w:r>
      <w:r>
        <w:rPr>
          <w:rFonts w:hint="eastAsia"/>
          <w:highlight w:val="yellow"/>
        </w:rPr>
        <w:t>办法</w:t>
      </w:r>
      <w:r>
        <w:rPr>
          <w:rFonts w:hint="eastAsia"/>
        </w:rPr>
        <w:t>适用于湖北省开通运营的高速公路服务区（停车区）。</w:t>
      </w:r>
    </w:p>
    <w:p>
      <w:pPr>
        <w:pStyle w:val="2"/>
        <w:ind w:left="0" w:leftChars="0" w:firstLine="635" w:firstLineChars="0"/>
      </w:pPr>
      <w:r>
        <w:rPr>
          <w:rFonts w:hint="eastAsia"/>
          <w:highlight w:val="yellow"/>
        </w:rPr>
        <w:t>第三条</w:t>
      </w:r>
      <w:r>
        <w:rPr>
          <w:rFonts w:hint="eastAsia"/>
        </w:rPr>
        <w:t xml:space="preserve"> 高速公路服务区（停车区）运营服务监督管理应当遵循依法依规、公开公正、标准统一、动态管理的原则。</w:t>
      </w:r>
    </w:p>
    <w:p>
      <w:pPr>
        <w:pStyle w:val="5"/>
        <w:rPr>
          <w:rFonts w:hint="eastAsia"/>
        </w:rPr>
      </w:pPr>
    </w:p>
    <w:p>
      <w:pPr>
        <w:spacing w:line="560" w:lineRule="exact"/>
        <w:jc w:val="center"/>
        <w:rPr>
          <w:rFonts w:hint="eastAsia" w:ascii="黑体" w:hAnsi="黑体" w:eastAsia="黑体" w:cs="黑体"/>
          <w:highlight w:val="yellow"/>
        </w:rPr>
      </w:pPr>
      <w:r>
        <w:rPr>
          <w:rFonts w:hint="eastAsia" w:ascii="黑体" w:hAnsi="黑体" w:eastAsia="黑体" w:cs="黑体"/>
          <w:highlight w:val="yellow"/>
        </w:rPr>
        <w:t>第二章  监督管理职责</w:t>
      </w:r>
    </w:p>
    <w:p>
      <w:pPr>
        <w:spacing w:line="560" w:lineRule="exact"/>
        <w:ind w:firstLine="632" w:firstLineChars="200"/>
        <w:rPr>
          <w:highlight w:val="yellow"/>
        </w:rPr>
      </w:pPr>
      <w:r>
        <w:rPr>
          <w:rFonts w:hint="eastAsia"/>
          <w:highlight w:val="yellow"/>
        </w:rPr>
        <w:t>第四条 省交通运输厅负责督促服务区（停车区）贯彻执行国家和地方有关高速公路服务区运营服务的法律法规和政策；制定本行政区域内高速公路服务区运营服务监督管理相关制度和标准；统筹全省高速公路服务区（停车区）运营服务质量监督工作。</w:t>
      </w:r>
    </w:p>
    <w:p>
      <w:pPr>
        <w:spacing w:line="560" w:lineRule="exact"/>
        <w:ind w:firstLine="632" w:firstLineChars="200"/>
        <w:rPr>
          <w:highlight w:val="yellow"/>
        </w:rPr>
      </w:pPr>
      <w:bookmarkStart w:id="1" w:name="_Hlk193045305"/>
      <w:r>
        <w:rPr>
          <w:rFonts w:hint="eastAsia"/>
          <w:highlight w:val="yellow"/>
        </w:rPr>
        <w:t>省公路事业发展中心负责具体实施高速公路服务区（停车区）运营服务及管理的指导、监督管理、综合评价和公众满意度调查工作；</w:t>
      </w:r>
      <w:bookmarkEnd w:id="1"/>
      <w:r>
        <w:rPr>
          <w:rFonts w:hint="eastAsia"/>
          <w:highlight w:val="yellow"/>
        </w:rPr>
        <w:t>负责全省高速公路服务区（停车区）管理平台建设，加强对服务区（停车区）进行动态分级分类管理。</w:t>
      </w:r>
    </w:p>
    <w:p>
      <w:pPr>
        <w:spacing w:line="560" w:lineRule="exact"/>
        <w:ind w:firstLine="632" w:firstLineChars="200"/>
        <w:rPr>
          <w:highlight w:val="yellow"/>
        </w:rPr>
      </w:pPr>
      <w:bookmarkStart w:id="2" w:name="_Hlk193045285"/>
      <w:bookmarkStart w:id="3" w:name="_Hlk193045346"/>
      <w:r>
        <w:rPr>
          <w:rFonts w:hint="eastAsia"/>
          <w:highlight w:val="yellow"/>
        </w:rPr>
        <w:t>省交通运输综合行政执法局</w:t>
      </w:r>
      <w:bookmarkEnd w:id="2"/>
      <w:r>
        <w:rPr>
          <w:rFonts w:hint="eastAsia"/>
          <w:highlight w:val="yellow"/>
        </w:rPr>
        <w:t>负责高速公路服务区（停车区）服务质量日常巡查监测工作，定期反馈监测结果，依法查处违反交通运输法律法规的行为。</w:t>
      </w:r>
    </w:p>
    <w:bookmarkEnd w:id="3"/>
    <w:p>
      <w:pPr>
        <w:spacing w:line="560" w:lineRule="exact"/>
        <w:ind w:firstLine="632" w:firstLineChars="200"/>
        <w:rPr>
          <w:highlight w:val="yellow"/>
        </w:rPr>
      </w:pPr>
      <w:bookmarkStart w:id="4" w:name="_Hlk193045387"/>
      <w:r>
        <w:rPr>
          <w:rFonts w:hint="eastAsia"/>
          <w:highlight w:val="yellow"/>
        </w:rPr>
        <w:t>省高速公路联网收费中心负责受理公众对高速公路服务区（停车区）运营服务投诉的受理、分发、流转、回访工作，定期反馈投诉处理情况；做好服务区（停车区）断面流量的监测、统计和预测工作。</w:t>
      </w:r>
    </w:p>
    <w:bookmarkEnd w:id="4"/>
    <w:p>
      <w:pPr>
        <w:spacing w:line="560" w:lineRule="exact"/>
        <w:ind w:firstLine="632" w:firstLineChars="200"/>
        <w:rPr>
          <w:highlight w:val="yellow"/>
        </w:rPr>
      </w:pPr>
      <w:r>
        <w:rPr>
          <w:rFonts w:hint="eastAsia"/>
          <w:highlight w:val="yellow"/>
        </w:rPr>
        <w:t xml:space="preserve">第五条 </w:t>
      </w:r>
      <w:bookmarkStart w:id="5" w:name="_Hlk193045563"/>
      <w:r>
        <w:rPr>
          <w:rFonts w:hint="eastAsia"/>
          <w:highlight w:val="yellow"/>
        </w:rPr>
        <w:t>高速公路经营管理单位是服务区（停车区）运营管理责任主体，</w:t>
      </w:r>
      <w:bookmarkEnd w:id="5"/>
      <w:bookmarkStart w:id="6" w:name="_Hlk193045587"/>
      <w:r>
        <w:rPr>
          <w:rFonts w:hint="eastAsia"/>
          <w:highlight w:val="yellow"/>
        </w:rPr>
        <w:t>负责统筹管理所辖服务区（停车区）的运营服务管理工作，</w:t>
      </w:r>
      <w:bookmarkEnd w:id="6"/>
      <w:r>
        <w:rPr>
          <w:rFonts w:hint="eastAsia"/>
          <w:highlight w:val="yellow"/>
        </w:rPr>
        <w:t>建立健全服务区运营管理制度和服务规范，监督经营商户的经营行为，强化监督考核，配合交通主管部门做好现场抽查、专项帮扶、年终评价工作。</w:t>
      </w:r>
    </w:p>
    <w:p>
      <w:pPr>
        <w:spacing w:line="560" w:lineRule="exact"/>
        <w:ind w:firstLine="632" w:firstLineChars="200"/>
        <w:rPr>
          <w:rFonts w:hint="eastAsia"/>
        </w:rPr>
      </w:pPr>
      <w:bookmarkStart w:id="7" w:name="_Hlk193045599"/>
      <w:r>
        <w:rPr>
          <w:rFonts w:hint="eastAsia"/>
          <w:highlight w:val="yellow"/>
        </w:rPr>
        <w:t>服务区（停车区）运营单位负责服务区物业管理、运营管理、公共设施设备维护、安全生产、服务保障等方面工作；</w:t>
      </w:r>
      <w:bookmarkEnd w:id="7"/>
      <w:r>
        <w:rPr>
          <w:rFonts w:hint="eastAsia"/>
          <w:highlight w:val="yellow"/>
        </w:rPr>
        <w:t>配合所在地公安、卫生、环保、工商、价格等部门做好服务区治安、食品卫生、经营和服务工作。</w:t>
      </w:r>
    </w:p>
    <w:p>
      <w:pPr>
        <w:spacing w:line="560" w:lineRule="exact"/>
        <w:ind w:firstLine="632" w:firstLineChars="200"/>
      </w:pPr>
    </w:p>
    <w:p>
      <w:pPr>
        <w:spacing w:line="560" w:lineRule="exact"/>
        <w:jc w:val="center"/>
        <w:rPr>
          <w:rFonts w:hint="eastAsia" w:ascii="黑体" w:hAnsi="黑体" w:eastAsia="黑体" w:cs="黑体"/>
        </w:rPr>
      </w:pPr>
      <w:r>
        <w:rPr>
          <w:rFonts w:hint="eastAsia" w:ascii="黑体" w:hAnsi="黑体" w:eastAsia="黑体" w:cs="黑体"/>
        </w:rPr>
        <w:t xml:space="preserve">第三章  </w:t>
      </w:r>
      <w:r>
        <w:rPr>
          <w:rFonts w:hint="eastAsia" w:ascii="黑体" w:hAnsi="黑体" w:eastAsia="黑体" w:cs="黑体"/>
          <w:highlight w:val="yellow"/>
        </w:rPr>
        <w:t>综合管理要求</w:t>
      </w:r>
    </w:p>
    <w:p>
      <w:pPr>
        <w:spacing w:line="560" w:lineRule="exact"/>
        <w:ind w:firstLine="632" w:firstLineChars="200"/>
      </w:pPr>
      <w:r>
        <w:rPr>
          <w:rFonts w:hint="eastAsia"/>
          <w:b/>
          <w:bCs/>
          <w:highlight w:val="lightGray"/>
        </w:rPr>
        <w:t>第六条</w:t>
      </w:r>
      <w:r>
        <w:rPr>
          <w:rFonts w:hint="eastAsia"/>
        </w:rPr>
        <w:t xml:space="preserve"> 服务区（停车区）设施和服务管理应当符合国家和省相关标准规范要求。按照《高速公路服务区（停车区）服务设施规范》（DB42/T 1763）服务区分类标准</w:t>
      </w:r>
      <w:bookmarkStart w:id="8" w:name="OLE_LINK4"/>
      <w:r>
        <w:rPr>
          <w:rFonts w:hint="eastAsia"/>
        </w:rPr>
        <w:t>，本省高速公路服务区分为A、B、C三个等级，服务区（停车区）设施功能、服务管理等级标准根据所在路段断面流量等情况进行动态调整，由省公路事业发展中心定期发布。</w:t>
      </w:r>
      <w:bookmarkEnd w:id="8"/>
    </w:p>
    <w:p>
      <w:pPr>
        <w:spacing w:line="560" w:lineRule="exact"/>
        <w:ind w:firstLine="632" w:firstLineChars="200"/>
      </w:pPr>
      <w:r>
        <w:rPr>
          <w:rFonts w:hint="eastAsia"/>
        </w:rPr>
        <w:t>已开通运营的高速公路服务区（停车区）设施和服务管理未按照国家和省有关标准和规范配置的，由省交通运输主管部门督促高速公路经营管理单位限期补建；涉及新增建设用地的，应当按照法律法规及有关规定办理。</w:t>
      </w:r>
    </w:p>
    <w:p>
      <w:pPr>
        <w:spacing w:line="560" w:lineRule="exact"/>
        <w:ind w:firstLine="632" w:firstLineChars="200"/>
      </w:pPr>
      <w:r>
        <w:rPr>
          <w:rFonts w:hint="eastAsia"/>
          <w:b/>
          <w:bCs/>
        </w:rPr>
        <w:t>第七条</w:t>
      </w:r>
      <w:r>
        <w:rPr>
          <w:rFonts w:hint="eastAsia"/>
        </w:rPr>
        <w:t xml:space="preserve"> </w:t>
      </w:r>
      <w:r>
        <w:t>高速公路服务区</w:t>
      </w:r>
      <w:r>
        <w:rPr>
          <w:rFonts w:hint="eastAsia"/>
        </w:rPr>
        <w:t>（停车区）</w:t>
      </w:r>
      <w:r>
        <w:t>可以由高速公路经营管理</w:t>
      </w:r>
      <w:r>
        <w:rPr>
          <w:rFonts w:hint="eastAsia"/>
        </w:rPr>
        <w:t>单位</w:t>
      </w:r>
      <w:r>
        <w:t>自主经营，也可以对外承包经营，对外承包经营的，应当采取服务质量招投标的方式确定</w:t>
      </w:r>
      <w:r>
        <w:rPr>
          <w:rFonts w:hint="eastAsia"/>
        </w:rPr>
        <w:t>承包</w:t>
      </w:r>
      <w:r>
        <w:t>经营者，</w:t>
      </w:r>
      <w:r>
        <w:rPr>
          <w:rFonts w:hint="eastAsia"/>
        </w:rPr>
        <w:t>承包</w:t>
      </w:r>
      <w:r>
        <w:t>经营者应当按照承诺的</w:t>
      </w:r>
      <w:r>
        <w:rPr>
          <w:rFonts w:hint="eastAsia"/>
        </w:rPr>
        <w:t>相关</w:t>
      </w:r>
      <w:r>
        <w:t>服务内容、标准提供服务。</w:t>
      </w:r>
    </w:p>
    <w:p>
      <w:pPr>
        <w:spacing w:line="560" w:lineRule="exact"/>
        <w:ind w:firstLine="632" w:firstLineChars="200"/>
      </w:pPr>
      <w:bookmarkStart w:id="9" w:name="_Hlk193047196"/>
      <w:r>
        <w:rPr>
          <w:rFonts w:hint="eastAsia"/>
        </w:rPr>
        <w:t>服务区（停车区）的保安保洁、公共卫生间、场区维护、灯光照明、监控设备等公益性设施以及相关公共服务应由高速公路经营管理单位纳入高速公路运营成本，不得与服务区经营服务项目捆绑转包或与服务区经营收入挂钩。</w:t>
      </w:r>
    </w:p>
    <w:bookmarkEnd w:id="9"/>
    <w:p>
      <w:pPr>
        <w:spacing w:line="560" w:lineRule="exact"/>
        <w:ind w:firstLine="632" w:firstLineChars="200"/>
      </w:pPr>
      <w:r>
        <w:rPr>
          <w:rFonts w:hint="eastAsia"/>
        </w:rPr>
        <w:t>现有服务区（停车区）经营方式发生改变，或新建（改扩建）服务区（停车区）采取对外承包经营方式的，应向省公路事业发展中心报告。</w:t>
      </w:r>
    </w:p>
    <w:p>
      <w:pPr>
        <w:spacing w:line="560" w:lineRule="exact"/>
        <w:ind w:firstLine="632" w:firstLineChars="200"/>
      </w:pPr>
      <w:r>
        <w:rPr>
          <w:rFonts w:hint="eastAsia"/>
          <w:b/>
          <w:bCs/>
        </w:rPr>
        <w:t>第八条</w:t>
      </w:r>
      <w:r>
        <w:rPr>
          <w:rFonts w:hint="eastAsia"/>
        </w:rPr>
        <w:t xml:space="preserve"> 高速公路经营管理单位应设立服务区（停车区）常驻经营管理机构，定岗定责，按照不低于“一长两员”（现场经理、安全管理员、综合管理员）标准配置管理人员，建立健全服务区管理制度、工作流程和监督检查机制。</w:t>
      </w:r>
    </w:p>
    <w:p>
      <w:pPr>
        <w:spacing w:line="560" w:lineRule="exact"/>
        <w:ind w:firstLine="632" w:firstLineChars="200"/>
      </w:pPr>
      <w:r>
        <w:rPr>
          <w:rFonts w:hint="eastAsia"/>
          <w:b/>
          <w:bCs/>
        </w:rPr>
        <w:t>第九条</w:t>
      </w:r>
      <w:r>
        <w:rPr>
          <w:rFonts w:hint="eastAsia"/>
        </w:rPr>
        <w:t xml:space="preserve"> 采取对外承包经营的服务区（停车区），高速公路经营管理单位与服务区承包经营者在合同协议中，应当明确以下双方权责内容：</w:t>
      </w:r>
    </w:p>
    <w:p>
      <w:pPr>
        <w:spacing w:line="560" w:lineRule="exact"/>
        <w:ind w:firstLine="632" w:firstLineChars="200"/>
      </w:pPr>
      <w:r>
        <w:rPr>
          <w:rFonts w:hint="eastAsia"/>
        </w:rPr>
        <w:t>（一）承包经营者经营活动应依法依规，符合国家、省相关高速公路服务区（停车区）经营服务规范。</w:t>
      </w:r>
    </w:p>
    <w:p>
      <w:pPr>
        <w:spacing w:line="560" w:lineRule="exact"/>
        <w:ind w:firstLine="632" w:firstLineChars="200"/>
      </w:pPr>
      <w:r>
        <w:rPr>
          <w:rFonts w:hint="eastAsia"/>
        </w:rPr>
        <w:t>（二）承包经营者应主动接受服务区（停车区）服务质量监测和评价，配合开展各类行业评先评优等活动。</w:t>
      </w:r>
    </w:p>
    <w:p>
      <w:pPr>
        <w:pStyle w:val="2"/>
        <w:ind w:left="0" w:leftChars="0" w:firstLine="0" w:firstLineChars="0"/>
      </w:pPr>
      <w:r>
        <w:rPr>
          <w:rFonts w:hint="eastAsia"/>
        </w:rPr>
        <w:t xml:space="preserve">    </w:t>
      </w:r>
      <w:r>
        <w:rPr>
          <w:rFonts w:hint="eastAsia"/>
          <w:highlight w:val="yellow"/>
        </w:rPr>
        <w:t>（三）若承包经营者在服务质量监测评价中多次出现不达标情况，或出现严重违反国家、省相关高速公路服务区（停车区）经营服务规范的行为，高速公路经营管理单位有权依据合同约定解除与承包经营者的合同协议，承包经营者需承担相应责任。</w:t>
      </w:r>
    </w:p>
    <w:p>
      <w:pPr>
        <w:spacing w:line="560" w:lineRule="exact"/>
        <w:ind w:firstLine="632" w:firstLineChars="200"/>
      </w:pPr>
      <w:r>
        <w:rPr>
          <w:rFonts w:hint="eastAsia"/>
          <w:b/>
          <w:bCs/>
        </w:rPr>
        <w:t>第十条</w:t>
      </w:r>
      <w:bookmarkStart w:id="10" w:name="_Hlk193047229"/>
      <w:r>
        <w:rPr>
          <w:rFonts w:hint="eastAsia"/>
        </w:rPr>
        <w:t xml:space="preserve"> 高速公路经营管理单位应建立以高速公路通行费投入为主、服务区经营收入补偿为辅的服务区（停车区）公共设施改善和维护投入保障机制（包括但不限于日常设施维护、公共服务、应急处置等），纳入单位预算管理，原则上比例不低于高速公路经营管理单位上年度通行费总收入的1.5%，具体办法由各高速公路经营管理单位根据实际情况制定。</w:t>
      </w:r>
    </w:p>
    <w:bookmarkEnd w:id="10"/>
    <w:p>
      <w:pPr>
        <w:spacing w:line="560" w:lineRule="exact"/>
        <w:jc w:val="center"/>
        <w:rPr>
          <w:rFonts w:hint="eastAsia" w:ascii="黑体" w:hAnsi="黑体" w:eastAsia="黑体" w:cs="黑体"/>
        </w:rPr>
      </w:pPr>
    </w:p>
    <w:p>
      <w:pPr>
        <w:spacing w:line="560" w:lineRule="exact"/>
        <w:jc w:val="center"/>
      </w:pPr>
      <w:r>
        <w:rPr>
          <w:rFonts w:hint="eastAsia" w:ascii="黑体" w:hAnsi="黑体" w:eastAsia="黑体" w:cs="黑体"/>
        </w:rPr>
        <w:t xml:space="preserve">第四章  </w:t>
      </w:r>
      <w:r>
        <w:rPr>
          <w:rFonts w:hint="eastAsia" w:ascii="黑体" w:hAnsi="黑体" w:eastAsia="黑体" w:cs="黑体"/>
          <w:highlight w:val="yellow"/>
        </w:rPr>
        <w:t>服务设施管理</w:t>
      </w:r>
    </w:p>
    <w:p>
      <w:pPr>
        <w:spacing w:line="560" w:lineRule="exact"/>
        <w:ind w:firstLine="632" w:firstLineChars="200"/>
      </w:pPr>
      <w:r>
        <w:rPr>
          <w:rFonts w:hint="eastAsia"/>
          <w:b/>
          <w:bCs/>
        </w:rPr>
        <w:t>第十一条</w:t>
      </w:r>
      <w:r>
        <w:rPr>
          <w:rFonts w:hint="eastAsia"/>
        </w:rPr>
        <w:t xml:space="preserve">  服务区应当提供下列服务设施：</w:t>
      </w:r>
    </w:p>
    <w:p>
      <w:pPr>
        <w:spacing w:line="560" w:lineRule="exact"/>
        <w:ind w:firstLine="632" w:firstLineChars="200"/>
      </w:pPr>
      <w:r>
        <w:rPr>
          <w:rFonts w:hint="eastAsia"/>
        </w:rPr>
        <w:t>（一）停车场、公共卫生间（含第三卫生间）、公共休息区、开水间、无障碍服务设施、信息化情报板（显示屏）等公益性基本设施；</w:t>
      </w:r>
    </w:p>
    <w:p>
      <w:pPr>
        <w:spacing w:line="560" w:lineRule="exact"/>
        <w:ind w:firstLine="632" w:firstLineChars="200"/>
      </w:pPr>
      <w:r>
        <w:rPr>
          <w:rFonts w:hint="eastAsia"/>
        </w:rPr>
        <w:t>（二）加油（气）站、充电站（桩）、超市（便利店）、餐厅等经营性基本设施；</w:t>
      </w:r>
    </w:p>
    <w:p>
      <w:pPr>
        <w:spacing w:line="560" w:lineRule="exact"/>
        <w:ind w:firstLine="632" w:firstLineChars="200"/>
      </w:pPr>
      <w:r>
        <w:rPr>
          <w:rFonts w:hint="eastAsia"/>
        </w:rPr>
        <w:t>（三）绿化、水土保持、夜间照明及给排水、污水处理、备用电设备等功能性基本设施；</w:t>
      </w:r>
    </w:p>
    <w:p>
      <w:pPr>
        <w:spacing w:line="560" w:lineRule="exact"/>
        <w:ind w:firstLine="632" w:firstLineChars="200"/>
      </w:pPr>
      <w:r>
        <w:rPr>
          <w:rFonts w:hint="eastAsia"/>
        </w:rPr>
        <w:t>（四）重点区域（停车场、超市、餐厅、加油站、加气站、充电站、开水间、司机之家、司乘之家、出入口匝道等）智能监控设备、出入口智能监测设备等，并接入省级服务区管理平台；</w:t>
      </w:r>
    </w:p>
    <w:p>
      <w:pPr>
        <w:spacing w:line="560" w:lineRule="exact"/>
        <w:ind w:firstLine="632" w:firstLineChars="200"/>
      </w:pPr>
      <w:r>
        <w:rPr>
          <w:rFonts w:hint="eastAsia"/>
        </w:rPr>
        <w:t>（五）国家、省级服务区（停车区）行业标准规定的服务区其他管理服务设施。</w:t>
      </w:r>
    </w:p>
    <w:p>
      <w:pPr>
        <w:spacing w:line="560" w:lineRule="exact"/>
        <w:ind w:firstLine="632" w:firstLineChars="200"/>
      </w:pPr>
      <w:r>
        <w:rPr>
          <w:rFonts w:hint="eastAsia"/>
          <w:b/>
          <w:bCs/>
        </w:rPr>
        <w:t>第十二条</w:t>
      </w:r>
      <w:r>
        <w:rPr>
          <w:rFonts w:hint="eastAsia"/>
        </w:rPr>
        <w:t xml:space="preserve">  停车区应当提供下列服务设施：</w:t>
      </w:r>
    </w:p>
    <w:p>
      <w:pPr>
        <w:spacing w:line="560" w:lineRule="exact"/>
        <w:ind w:firstLine="632" w:firstLineChars="200"/>
      </w:pPr>
      <w:r>
        <w:rPr>
          <w:rFonts w:hint="eastAsia"/>
        </w:rPr>
        <w:t>（一）停车场、公共卫生间（含第三卫生间）、公共休息区、开水间、司乘之家、夜间照明、无障碍服务设施、信息化情报板（显示屏）等设施；</w:t>
      </w:r>
    </w:p>
    <w:p>
      <w:pPr>
        <w:spacing w:line="560" w:lineRule="exact"/>
        <w:ind w:firstLine="632" w:firstLineChars="200"/>
      </w:pPr>
      <w:r>
        <w:rPr>
          <w:rFonts w:hint="eastAsia"/>
        </w:rPr>
        <w:t>（二）重点区域（停车场、开水间、司乘之家、出入口匝道等）智能监控、出入口智能监测设备等，并接入省级服务区管理平台；</w:t>
      </w:r>
    </w:p>
    <w:p>
      <w:pPr>
        <w:spacing w:line="560" w:lineRule="exact"/>
        <w:ind w:firstLine="632" w:firstLineChars="200"/>
      </w:pPr>
      <w:r>
        <w:rPr>
          <w:rFonts w:hint="eastAsia"/>
        </w:rPr>
        <w:t>（三）国家、省级服务区（停车区）行业标准规定的停车区其他管理服务设施。</w:t>
      </w:r>
    </w:p>
    <w:p>
      <w:pPr>
        <w:spacing w:line="560" w:lineRule="exact"/>
        <w:ind w:firstLine="632" w:firstLineChars="200"/>
      </w:pPr>
      <w:r>
        <w:rPr>
          <w:rFonts w:hint="eastAsia"/>
          <w:b/>
          <w:bCs/>
        </w:rPr>
        <w:t>第十三条</w:t>
      </w:r>
      <w:r>
        <w:rPr>
          <w:rFonts w:hint="eastAsia"/>
        </w:rPr>
        <w:t xml:space="preserve">  加油站应与高速公路服务区</w:t>
      </w:r>
      <w:r>
        <w:rPr>
          <w:rFonts w:hint="eastAsia"/>
          <w:highlight w:val="yellow"/>
        </w:rPr>
        <w:t>（停车区）同步建设、同步开通、同步运营，</w:t>
      </w:r>
      <w:r>
        <w:rPr>
          <w:rFonts w:hint="eastAsia"/>
        </w:rPr>
        <w:t>单侧应配置不少于4个92号汽油加油枪。</w:t>
      </w:r>
    </w:p>
    <w:p>
      <w:pPr>
        <w:spacing w:line="560" w:lineRule="exact"/>
        <w:ind w:firstLine="632" w:firstLineChars="200"/>
      </w:pPr>
      <w:r>
        <w:rPr>
          <w:rFonts w:hint="eastAsia"/>
        </w:rPr>
        <w:t>充电基础设施应实现服务区全覆盖，充电停车位不少于小客车停车位的10%，充电繁忙服务区按照不少于15%的数量进行设置；停车区根据实际情况配置充电基础设施。重大节假日和流量高峰时期，高速公路经营管理单位应根据应急服务保障需求增设移动充电设备。</w:t>
      </w:r>
    </w:p>
    <w:p>
      <w:pPr>
        <w:spacing w:line="560" w:lineRule="exact"/>
        <w:ind w:firstLine="632" w:firstLineChars="200"/>
      </w:pPr>
      <w:r>
        <w:rPr>
          <w:rFonts w:hint="eastAsia"/>
          <w:b/>
          <w:bCs/>
        </w:rPr>
        <w:t>第十四条</w:t>
      </w:r>
      <w:r>
        <w:rPr>
          <w:rFonts w:hint="eastAsia"/>
        </w:rPr>
        <w:t xml:space="preserve">  餐厅应配备取暖、降温设施，餐桌椅完好、无破损残缺。证照齐全，经营许可证、卫生许可证、餐饮从业人员健康证等证照在明显位置公开悬挂。</w:t>
      </w:r>
    </w:p>
    <w:p>
      <w:pPr>
        <w:spacing w:line="560" w:lineRule="exact"/>
        <w:ind w:firstLine="632" w:firstLineChars="200"/>
      </w:pPr>
      <w:r>
        <w:rPr>
          <w:rFonts w:hint="eastAsia"/>
          <w:b/>
          <w:bCs/>
        </w:rPr>
        <w:t>第十五条</w:t>
      </w:r>
      <w:r>
        <w:rPr>
          <w:rFonts w:hint="eastAsia"/>
        </w:rPr>
        <w:t xml:space="preserve">  超市（便利店）应具备经营资质，店内环境整洁、卫生、明亮，在明显位置设置“同城同价”专柜。所售商品应符合法律法规要求，明码标价，无假冒伪劣、超保质期等商品。</w:t>
      </w:r>
    </w:p>
    <w:p>
      <w:pPr>
        <w:spacing w:line="560" w:lineRule="exact"/>
        <w:ind w:firstLine="632" w:firstLineChars="200"/>
      </w:pPr>
      <w:r>
        <w:rPr>
          <w:rFonts w:hint="eastAsia"/>
          <w:b/>
          <w:bCs/>
        </w:rPr>
        <w:t>第十六条</w:t>
      </w:r>
      <w:r>
        <w:rPr>
          <w:rFonts w:hint="eastAsia"/>
        </w:rPr>
        <w:t xml:space="preserve">  服务区（停车区）不得擅自关闭，因养护等原因确需关闭的，应当报省交通运输主管部门批准。服务区（停车区）关闭期间，应当保留加油、如厕和停车、夜间照明等基本服务功能，并在服务区（停车区）设置醒目提示信息、邻近服务区（停车区）引导信息，同时向社会公告。</w:t>
      </w:r>
    </w:p>
    <w:p>
      <w:pPr>
        <w:spacing w:line="560" w:lineRule="exact"/>
        <w:ind w:firstLine="632" w:firstLineChars="200"/>
      </w:pPr>
    </w:p>
    <w:p>
      <w:pPr>
        <w:spacing w:line="560" w:lineRule="exact"/>
        <w:jc w:val="center"/>
        <w:rPr>
          <w:rFonts w:hint="eastAsia" w:ascii="黑体" w:hAnsi="黑体" w:eastAsia="黑体" w:cs="黑体"/>
        </w:rPr>
      </w:pPr>
      <w:r>
        <w:rPr>
          <w:rFonts w:hint="eastAsia" w:ascii="黑体" w:hAnsi="黑体" w:eastAsia="黑体" w:cs="黑体"/>
        </w:rPr>
        <w:t>第五章 公共服务管理</w:t>
      </w:r>
    </w:p>
    <w:p>
      <w:pPr>
        <w:spacing w:line="560" w:lineRule="exact"/>
        <w:ind w:firstLine="632" w:firstLineChars="200"/>
      </w:pPr>
      <w:r>
        <w:rPr>
          <w:rFonts w:hint="eastAsia"/>
          <w:b/>
          <w:bCs/>
        </w:rPr>
        <w:t>第十七条</w:t>
      </w:r>
      <w:r>
        <w:rPr>
          <w:rFonts w:hint="eastAsia"/>
        </w:rPr>
        <w:t xml:space="preserve">  服务区（停车区）停车场应合理设置标志标线、交通流线，车位设置符合《高速公路服务区（停车区）服务设施规范》（DB42/T 1763）要求。客、货车辆分区停放，危险化学品车、牲畜运输车专区停放，保证车辆进出安全顺畅。</w:t>
      </w:r>
    </w:p>
    <w:p>
      <w:pPr>
        <w:spacing w:line="560" w:lineRule="exact"/>
        <w:ind w:firstLine="632" w:firstLineChars="200"/>
      </w:pPr>
      <w:r>
        <w:rPr>
          <w:rFonts w:hint="eastAsia"/>
        </w:rPr>
        <w:t>公共卫生间厕位设置应符合《高速公路服务区（停车区）服务设施规范》（DB42/T 1763）要求，重大节假日和流量高峰时期,发生排队如厕现象时，应及时开启简易或临时卫生间等辅助设施。</w:t>
      </w:r>
    </w:p>
    <w:p>
      <w:pPr>
        <w:spacing w:line="560" w:lineRule="exact"/>
        <w:ind w:firstLine="632" w:firstLineChars="200"/>
      </w:pPr>
      <w:r>
        <w:rPr>
          <w:rFonts w:hint="eastAsia"/>
          <w:b/>
          <w:bCs/>
        </w:rPr>
        <w:t>第十八条</w:t>
      </w:r>
      <w:r>
        <w:rPr>
          <w:rFonts w:hint="eastAsia"/>
        </w:rPr>
        <w:t xml:space="preserve">  A、B级服务区应按规范设置建筑面积不少于80平方米的“司机之家”，打造“综合服务+司机之家”，提供一体式服务。</w:t>
      </w:r>
    </w:p>
    <w:p>
      <w:pPr>
        <w:spacing w:line="560" w:lineRule="exact"/>
        <w:ind w:firstLine="632" w:firstLineChars="200"/>
      </w:pPr>
      <w:r>
        <w:rPr>
          <w:rFonts w:hint="eastAsia"/>
          <w:b/>
          <w:bCs/>
        </w:rPr>
        <w:t>第十九条</w:t>
      </w:r>
      <w:r>
        <w:rPr>
          <w:rFonts w:hint="eastAsia"/>
        </w:rPr>
        <w:t xml:space="preserve">  C级服务区、停车区综合楼应设置建筑面积不少于300平方米的“司乘之家”，集休息、购物、餐饮、开水供应、母婴室等功能为一体，提供一站式服务。</w:t>
      </w:r>
    </w:p>
    <w:p>
      <w:pPr>
        <w:spacing w:line="560" w:lineRule="exact"/>
        <w:ind w:firstLine="632" w:firstLineChars="200"/>
      </w:pPr>
      <w:r>
        <w:rPr>
          <w:rFonts w:hint="eastAsia"/>
          <w:b/>
          <w:bCs/>
        </w:rPr>
        <w:t>第二十条</w:t>
      </w:r>
      <w:r>
        <w:rPr>
          <w:rFonts w:hint="eastAsia"/>
        </w:rPr>
        <w:t xml:space="preserve">  服务区（停车区）应在相对明显区域设置开水间，提供24h免费开水服务。服务区开水间面积不少于10平方米，停车区开水间面积不少于6平方米。单侧服务区（停车区）配置电开水器不少于2套，开水总出水量不少于140L/h，开水间应配备茶水台、防烫、净水设备以及配套的垃圾桶、清洁用品等。</w:t>
      </w:r>
    </w:p>
    <w:p>
      <w:pPr>
        <w:spacing w:line="560" w:lineRule="exact"/>
        <w:ind w:firstLine="632" w:firstLineChars="200"/>
      </w:pPr>
      <w:r>
        <w:rPr>
          <w:rFonts w:hint="eastAsia"/>
          <w:b/>
          <w:bCs/>
        </w:rPr>
        <w:t>第二十一条</w:t>
      </w:r>
      <w:r>
        <w:rPr>
          <w:rFonts w:hint="eastAsia"/>
        </w:rPr>
        <w:t xml:space="preserve">  服务区（停车区）应按照国家标准完善无障碍环境和母婴室、适老适儿等设施建设，保持夜间照明设施完好，保障消防通道、应急逃生通道畅通，做好日常维护并规范使用。</w:t>
      </w:r>
    </w:p>
    <w:p>
      <w:pPr>
        <w:spacing w:line="560" w:lineRule="exact"/>
        <w:ind w:firstLine="632" w:firstLineChars="200"/>
      </w:pPr>
      <w:r>
        <w:rPr>
          <w:rFonts w:hint="eastAsia"/>
          <w:b/>
          <w:bCs/>
        </w:rPr>
        <w:t>第二十二条</w:t>
      </w:r>
      <w:r>
        <w:rPr>
          <w:rFonts w:hint="eastAsia"/>
        </w:rPr>
        <w:t xml:space="preserve">  高速公路经营管理单位应加强和属地医疗机构合作，按照《交通医疗急救箱配置标准指导目录》标准设置服务区（停车区）医用急救箱，</w:t>
      </w:r>
      <w:r>
        <w:rPr>
          <w:rFonts w:hint="eastAsia"/>
          <w:highlight w:val="yellow"/>
        </w:rPr>
        <w:t>在服务区</w:t>
      </w:r>
      <w:r>
        <w:rPr>
          <w:rFonts w:hint="eastAsia"/>
        </w:rPr>
        <w:t>配置医疗急救设备（含自动体外除颤仪AED等）。有条件的服务区可设立“医联体”等拓展服务载体，设置直升机救援停机坪。</w:t>
      </w:r>
    </w:p>
    <w:p>
      <w:pPr>
        <w:spacing w:line="560" w:lineRule="exact"/>
        <w:ind w:firstLine="632" w:firstLineChars="200"/>
      </w:pPr>
      <w:r>
        <w:rPr>
          <w:rFonts w:hint="eastAsia"/>
          <w:b/>
          <w:bCs/>
        </w:rPr>
        <w:t>第二十三条</w:t>
      </w:r>
      <w:r>
        <w:rPr>
          <w:rFonts w:hint="eastAsia"/>
        </w:rPr>
        <w:t xml:space="preserve">  服务区（停车区）管理人员，保安、保洁人员应符合《高速公路服务区（停车区）服务管理规范》（DB42/T1764）配置标准，能适应相应岗位任务要求。在重大节假日和流量高峰时期，高速公路经营管理单位应按照《湖北省高速公路服务区（停车区）重大节假日应急服务工作规范》增派服务保障人员。</w:t>
      </w:r>
    </w:p>
    <w:p>
      <w:pPr>
        <w:spacing w:line="560" w:lineRule="exact"/>
        <w:ind w:firstLine="632" w:firstLineChars="200"/>
      </w:pPr>
      <w:r>
        <w:rPr>
          <w:rFonts w:hint="eastAsia"/>
          <w:b/>
          <w:bCs/>
        </w:rPr>
        <w:t>第二十四条</w:t>
      </w:r>
      <w:r>
        <w:rPr>
          <w:rFonts w:hint="eastAsia"/>
        </w:rPr>
        <w:t xml:space="preserve">  高速公路经营管理单位应根据《湖北省高速公路服务区（停车区）重大节假日应急服务工作规范》制定本单位实施细则，组建志愿者服务队伍，做好服务区应急服务保障。</w:t>
      </w:r>
    </w:p>
    <w:p>
      <w:pPr>
        <w:spacing w:line="560" w:lineRule="exact"/>
        <w:ind w:firstLine="632" w:firstLineChars="200"/>
      </w:pPr>
    </w:p>
    <w:p>
      <w:pPr>
        <w:spacing w:line="560" w:lineRule="exact"/>
        <w:jc w:val="center"/>
      </w:pPr>
      <w:r>
        <w:rPr>
          <w:rFonts w:hint="eastAsia" w:ascii="黑体" w:hAnsi="黑体" w:eastAsia="黑体" w:cs="黑体"/>
        </w:rPr>
        <w:t>第六章 形象提质管理</w:t>
      </w:r>
    </w:p>
    <w:p>
      <w:pPr>
        <w:spacing w:line="560" w:lineRule="exact"/>
        <w:ind w:firstLine="632" w:firstLineChars="200"/>
      </w:pPr>
      <w:r>
        <w:rPr>
          <w:rFonts w:hint="eastAsia"/>
          <w:b/>
          <w:bCs/>
        </w:rPr>
        <w:t>第二十五条</w:t>
      </w:r>
      <w:r>
        <w:rPr>
          <w:rFonts w:hint="eastAsia"/>
        </w:rPr>
        <w:t xml:space="preserve">  服务区（停车区）外观形象、服务标识应符合《湖北省公路服务区VI形象标准指南》内容和标准，突显“荆楚行·湖北情”品牌文化，不得擅自变更或者以企业形象标识替代行业形象标识。</w:t>
      </w:r>
    </w:p>
    <w:p>
      <w:pPr>
        <w:spacing w:line="560" w:lineRule="exact"/>
        <w:ind w:firstLine="632" w:firstLineChars="200"/>
      </w:pPr>
      <w:r>
        <w:rPr>
          <w:rFonts w:hint="eastAsia"/>
          <w:b/>
          <w:bCs/>
        </w:rPr>
        <w:t>第二十六条</w:t>
      </w:r>
      <w:r>
        <w:rPr>
          <w:rFonts w:hint="eastAsia"/>
        </w:rPr>
        <w:t xml:space="preserve">  服务区（停车区）管理人员，保安、保洁人员，餐饮、超市等从业人员应统一着装，挂牌上岗，规范文明服务。</w:t>
      </w:r>
    </w:p>
    <w:p>
      <w:pPr>
        <w:spacing w:line="560" w:lineRule="exact"/>
        <w:ind w:firstLine="632" w:firstLineChars="200"/>
      </w:pPr>
      <w:r>
        <w:rPr>
          <w:rFonts w:hint="eastAsia"/>
          <w:b/>
          <w:bCs/>
        </w:rPr>
        <w:t>第二十七条</w:t>
      </w:r>
      <w:r>
        <w:rPr>
          <w:rFonts w:hint="eastAsia"/>
        </w:rPr>
        <w:t xml:space="preserve">  服务区（停车区）环境卫生应常态保持良好状况，公共场所及各经营场所应保持卫生清洁、设施完好，做到无废弃物、无积水、无异味、无蚊蝇、无杂物。 </w:t>
      </w:r>
    </w:p>
    <w:p>
      <w:pPr>
        <w:spacing w:line="560" w:lineRule="exact"/>
        <w:ind w:firstLine="632" w:firstLineChars="200"/>
      </w:pPr>
      <w:r>
        <w:rPr>
          <w:rFonts w:hint="eastAsia"/>
          <w:b/>
          <w:bCs/>
        </w:rPr>
        <w:t>第二十八条</w:t>
      </w:r>
      <w:r>
        <w:rPr>
          <w:rFonts w:hint="eastAsia"/>
        </w:rPr>
        <w:t xml:space="preserve">  服务区（停车区）路域环境、绿化景观应符合湖北省高速公路路域环境绿化工作标准，做到场区内无黄土裸露，绿植、硬化全覆盖。</w:t>
      </w:r>
    </w:p>
    <w:p>
      <w:pPr>
        <w:spacing w:line="560" w:lineRule="exact"/>
        <w:ind w:firstLine="632" w:firstLineChars="200"/>
      </w:pPr>
      <w:r>
        <w:rPr>
          <w:rFonts w:hint="eastAsia"/>
          <w:b/>
          <w:bCs/>
        </w:rPr>
        <w:t>第二十九条</w:t>
      </w:r>
      <w:r>
        <w:rPr>
          <w:rFonts w:hint="eastAsia"/>
        </w:rPr>
        <w:t xml:space="preserve">  服务区（停车区）内的排污、排水设施应保持完好，做到排污达标、排水畅通，垃圾房、垃圾桶、化粪池等卫生设施应经常清洗、消毒，做防虫处理，生活垃圾应及时、集中进行无害化处理。</w:t>
      </w:r>
    </w:p>
    <w:p>
      <w:pPr>
        <w:spacing w:line="560" w:lineRule="exact"/>
        <w:ind w:firstLine="632" w:firstLineChars="200"/>
      </w:pPr>
      <w:r>
        <w:rPr>
          <w:rFonts w:hint="eastAsia"/>
          <w:b/>
          <w:bCs/>
        </w:rPr>
        <w:t>第三十条</w:t>
      </w:r>
      <w:r>
        <w:rPr>
          <w:rFonts w:hint="eastAsia"/>
        </w:rPr>
        <w:t xml:space="preserve"> 服务区（停车区）断面车流量、入区车（人）流量和加油、充电、餐饮、购物等运营数据，应接入升级服务区管理平台，实时掌握服务区（停车区）运营服务动态，分析预测重点时段服务需求，调度保障重大节假日、车（人）流高峰期服务供给，</w:t>
      </w:r>
    </w:p>
    <w:p>
      <w:pPr>
        <w:spacing w:line="560" w:lineRule="exact"/>
        <w:ind w:firstLine="632" w:firstLineChars="200"/>
      </w:pPr>
      <w:r>
        <w:rPr>
          <w:rFonts w:hint="eastAsia"/>
          <w:b/>
          <w:bCs/>
        </w:rPr>
        <w:t>第三十一条</w:t>
      </w:r>
      <w:r>
        <w:rPr>
          <w:rFonts w:hint="eastAsia"/>
        </w:rPr>
        <w:t xml:space="preserve">  高速公路经营管理单位应结合高速公路沿线地域文化、特色经济、旅游等，推进“服务区+旅游”“服务区+地方特色”等建设，鼓励有条件的服务区打造旅游服务区、主题服务区。挖掘服务区经济潜力，鼓励发展路衍经济。</w:t>
      </w:r>
    </w:p>
    <w:p>
      <w:pPr>
        <w:spacing w:line="560" w:lineRule="exact"/>
        <w:ind w:firstLine="632" w:firstLineChars="200"/>
      </w:pPr>
      <w:r>
        <w:rPr>
          <w:rFonts w:hint="eastAsia"/>
          <w:b/>
          <w:bCs/>
        </w:rPr>
        <w:t>第三十二条</w:t>
      </w:r>
      <w:r>
        <w:rPr>
          <w:rFonts w:hint="eastAsia"/>
        </w:rPr>
        <w:t xml:space="preserve">  高速公路经营管理单位应结合交旅融合、乡村振兴等新需求，统筹谋划开放式服务区建设，在具备条件的服务区建设专用通道并增设收费车道，实现服务区与周边城镇有效连接，推动服务区加油、充电、停车功能与周边城镇餐饮、住宿、休闲、娱乐等功能整合。</w:t>
      </w:r>
    </w:p>
    <w:p>
      <w:pPr>
        <w:spacing w:line="560" w:lineRule="exact"/>
        <w:ind w:firstLine="632" w:firstLineChars="200"/>
      </w:pPr>
      <w:r>
        <w:rPr>
          <w:rFonts w:hint="eastAsia"/>
          <w:b/>
          <w:bCs/>
        </w:rPr>
        <w:t>第三十三条</w:t>
      </w:r>
      <w:r>
        <w:rPr>
          <w:rFonts w:hint="eastAsia"/>
        </w:rPr>
        <w:t xml:space="preserve">  高速公路经营管理单位应统筹推进（近）零碳服务区（停车区）建设，合理规划服务区光伏设施布局，充分充利用建筑物屋顶、停车场、充电桩遮阳棚等空间，建设清洁能源设施，构建源网荷储一体化绿色能源体系。</w:t>
      </w:r>
    </w:p>
    <w:p>
      <w:pPr>
        <w:spacing w:line="560" w:lineRule="exact"/>
        <w:ind w:firstLine="632" w:firstLineChars="200"/>
      </w:pPr>
    </w:p>
    <w:p>
      <w:pPr>
        <w:spacing w:line="560" w:lineRule="exact"/>
        <w:jc w:val="center"/>
        <w:rPr>
          <w:rFonts w:hint="eastAsia" w:ascii="黑体" w:hAnsi="黑体" w:eastAsia="黑体" w:cs="黑体"/>
        </w:rPr>
      </w:pPr>
      <w:r>
        <w:rPr>
          <w:rFonts w:hint="eastAsia" w:ascii="黑体" w:hAnsi="黑体" w:eastAsia="黑体" w:cs="黑体"/>
        </w:rPr>
        <w:t>第七章 监测评价管理</w:t>
      </w:r>
    </w:p>
    <w:p>
      <w:pPr>
        <w:spacing w:line="560" w:lineRule="exact"/>
        <w:ind w:firstLine="632" w:firstLineChars="200"/>
      </w:pPr>
      <w:r>
        <w:rPr>
          <w:rFonts w:hint="eastAsia"/>
          <w:b/>
          <w:bCs/>
        </w:rPr>
        <w:t>第三十四条</w:t>
      </w:r>
      <w:r>
        <w:rPr>
          <w:rFonts w:hint="eastAsia"/>
        </w:rPr>
        <w:t xml:space="preserve">  高速公路经营管理单位应在服务区（停车区）醒目区域设置公示牌，按规定公开服务承诺、服务质量评价结果，公开投诉举报电话和负责人联系方式，畅通投诉渠道。</w:t>
      </w:r>
    </w:p>
    <w:p>
      <w:pPr>
        <w:spacing w:line="560" w:lineRule="exact"/>
        <w:ind w:firstLine="632" w:firstLineChars="200"/>
      </w:pPr>
      <w:r>
        <w:rPr>
          <w:rFonts w:hint="eastAsia"/>
        </w:rPr>
        <w:t>按照高速公路“1111”工作要求进行服务投诉处置：服务监督电话1分钟之内有人接听处理；服务区现场负责人10分钟之内到服务现场处理服务投诉争议；一般的服务投诉，1小时内有处理结果；对于情况复杂、超出服务区现场负责人处理权限的服务投诉，要在1天之内进行处理回复。</w:t>
      </w:r>
    </w:p>
    <w:p>
      <w:pPr>
        <w:widowControl/>
        <w:shd w:val="clear" w:color="auto" w:fill="FFFFFF"/>
        <w:ind w:firstLine="632" w:firstLineChars="200"/>
        <w:jc w:val="left"/>
      </w:pPr>
      <w:r>
        <w:rPr>
          <w:rFonts w:hint="eastAsia"/>
          <w:b/>
          <w:bCs/>
        </w:rPr>
        <w:t>第三十五条</w:t>
      </w:r>
      <w:r>
        <w:rPr>
          <w:rFonts w:hint="eastAsia"/>
        </w:rPr>
        <w:t xml:space="preserve">  全省高速公路服务区（停车区）服务质量评价工作每年开展一次，采取日常评价与年终评价相结合的方式，依据日常巡查、专项检查帮扶（现场抽查）、第三方评价，年终评价、公众满意度调查、投诉等进行综合评价（详见附件1）。根据年度综合评价总评分，评定服务区（停车区）优、良、中、次、差五个等次：优≥90分，90分&lt;良≥80分，80分&lt;中≥70分，70分&lt;次≥60分，差&lt;60分。</w:t>
      </w:r>
    </w:p>
    <w:p>
      <w:pPr>
        <w:widowControl/>
        <w:shd w:val="clear" w:color="auto" w:fill="FFFFFF"/>
        <w:ind w:firstLine="632" w:firstLineChars="200"/>
        <w:jc w:val="left"/>
      </w:pPr>
      <w:r>
        <w:rPr>
          <w:rFonts w:hint="eastAsia"/>
          <w:b/>
          <w:bCs/>
        </w:rPr>
        <w:t>第三十六条</w:t>
      </w:r>
      <w:r>
        <w:rPr>
          <w:rFonts w:hint="eastAsia"/>
        </w:rPr>
        <w:t xml:space="preserve"> 因实施改扩建工程、大修工程，或者因自然灾害等不可抗力导致服务区（停车区）关闭的，当年度不进行服务质量监测评价。因运营管理原因，发生较大以上安全生产责任事故的，重大社会舆情，直接评定为“差等”。</w:t>
      </w:r>
    </w:p>
    <w:p>
      <w:pPr>
        <w:pStyle w:val="2"/>
        <w:ind w:left="0" w:leftChars="0" w:firstLine="634"/>
      </w:pPr>
      <w:r>
        <w:rPr>
          <w:rFonts w:hint="eastAsia"/>
          <w:b/>
          <w:bCs/>
        </w:rPr>
        <w:t>第三十七条</w:t>
      </w:r>
      <w:r>
        <w:rPr>
          <w:rFonts w:hint="eastAsia"/>
        </w:rPr>
        <w:t xml:space="preserve">  省交通运输综合行政执法局每月发布服务区服务质量监测通报，省公路事业发展中心定期发布服务区第三方暗访通报，每年公示服务区服务质量评价报告。</w:t>
      </w:r>
    </w:p>
    <w:p>
      <w:pPr>
        <w:ind w:firstLine="632" w:firstLineChars="200"/>
      </w:pPr>
      <w:r>
        <w:rPr>
          <w:rFonts w:hint="eastAsia"/>
        </w:rPr>
        <w:t>对评定为优等的服务区（停车区）及所属高速公路经营管理单位，高速经营管理单位应给予适当鼓励。对评定为差等的服务区及所属高速公路经营管理单位，挂牌重点督办，责令限期整改。对监测评价过程中发现的服务区（停车区）服务功能缺失、环境卫生脏乱差、服务质量低下等突出问题，采取通报批评、下发整改通知书、专项督查、通告其上级主管单位等行政措施督促整改。对整治进度慢、落实不力、限期未完成整改的，依法启动行政处罚、关停服务区、暂缓划拨通行费或降低通行费率等措施。</w:t>
      </w:r>
    </w:p>
    <w:p>
      <w:pPr>
        <w:pStyle w:val="2"/>
        <w:ind w:left="0" w:leftChars="0" w:firstLine="632"/>
        <w:rPr>
          <w:rFonts w:hint="eastAsia" w:ascii="黑体" w:hAnsi="黑体" w:eastAsia="黑体" w:cs="黑体"/>
        </w:rPr>
      </w:pPr>
    </w:p>
    <w:p>
      <w:pPr>
        <w:spacing w:line="560" w:lineRule="exact"/>
        <w:jc w:val="center"/>
        <w:rPr>
          <w:rFonts w:hint="eastAsia" w:ascii="黑体" w:hAnsi="黑体" w:eastAsia="黑体" w:cs="黑体"/>
        </w:rPr>
      </w:pPr>
      <w:r>
        <w:rPr>
          <w:rFonts w:hint="eastAsia" w:ascii="黑体" w:hAnsi="黑体" w:eastAsia="黑体" w:cs="黑体"/>
        </w:rPr>
        <w:t>第八章  附则</w:t>
      </w:r>
    </w:p>
    <w:p>
      <w:pPr>
        <w:spacing w:line="560" w:lineRule="exact"/>
        <w:ind w:firstLine="632" w:firstLineChars="200"/>
      </w:pPr>
      <w:r>
        <w:rPr>
          <w:rFonts w:hint="eastAsia"/>
          <w:b/>
          <w:bCs/>
        </w:rPr>
        <w:t>第三十八条</w:t>
      </w:r>
      <w:r>
        <w:rPr>
          <w:rFonts w:hint="eastAsia"/>
        </w:rPr>
        <w:t xml:space="preserve"> 本办法有关用语含义如下：</w:t>
      </w:r>
    </w:p>
    <w:p>
      <w:pPr>
        <w:spacing w:line="560" w:lineRule="exact"/>
        <w:ind w:firstLine="632" w:firstLineChars="200"/>
      </w:pPr>
      <w:r>
        <w:rPr>
          <w:rFonts w:hint="eastAsia"/>
        </w:rPr>
        <w:t>（一）“高速公路服务区”是指在高速公路专门设置，为司乘人员提供短暂休息、公共卫生间、购物、餐饮等服务，为车辆提供停车、加油（加气、充电）、汽车维修等服务的场所。</w:t>
      </w:r>
    </w:p>
    <w:p>
      <w:pPr>
        <w:spacing w:line="560" w:lineRule="exact"/>
        <w:ind w:firstLine="632" w:firstLineChars="200"/>
      </w:pPr>
      <w:r>
        <w:rPr>
          <w:rFonts w:hint="eastAsia"/>
        </w:rPr>
        <w:t>（二）“高速公路停车区”是指在服务区之间布设，仅满足小规模停车及司乘人员如厕、短暂休息的基本服务设施。</w:t>
      </w:r>
    </w:p>
    <w:p>
      <w:pPr>
        <w:spacing w:line="560" w:lineRule="exact"/>
        <w:ind w:firstLine="632" w:firstLineChars="200"/>
      </w:pPr>
      <w:r>
        <w:rPr>
          <w:rFonts w:hint="eastAsia"/>
        </w:rPr>
        <w:t>（三）“服务区分类”是指综合考虑服务区占地规模、车流量、驶入率等因素，将服务区由高到低分为A级、B级、C级三类。其中A级服务区功能完善、规模大；B级服务区功能较全、规模适中；C级服务区功能满足基本要求、规模较小。</w:t>
      </w:r>
    </w:p>
    <w:p>
      <w:pPr>
        <w:spacing w:line="560" w:lineRule="exact"/>
        <w:ind w:firstLine="632" w:firstLineChars="200"/>
      </w:pPr>
      <w:r>
        <w:rPr>
          <w:rFonts w:hint="eastAsia"/>
        </w:rPr>
        <w:t>（四）“司机之家”是指在A级、B级服务区为道路运输车辆及驾驶人员提供的专用公共服务场所和建筑设施，一般具有餐饮、休息、停车安保、宣传教育等服务功能。</w:t>
      </w:r>
    </w:p>
    <w:p>
      <w:pPr>
        <w:spacing w:line="560" w:lineRule="exact"/>
        <w:ind w:firstLine="632" w:firstLineChars="200"/>
      </w:pPr>
      <w:r>
        <w:rPr>
          <w:rFonts w:hint="eastAsia"/>
        </w:rPr>
        <w:t>（五）“司乘之家”是指在C级</w:t>
      </w:r>
      <w:r>
        <w:rPr>
          <w:rFonts w:hint="eastAsia"/>
          <w:highlight w:val="yellow"/>
        </w:rPr>
        <w:t>（车流人流较少）</w:t>
      </w:r>
      <w:r>
        <w:rPr>
          <w:rFonts w:hint="eastAsia"/>
        </w:rPr>
        <w:t>服务区、停车区为驾驶人员提供公共服务的场所和建筑设施，集休息、餐饮、开水供应、母婴室等为一体，提供一站式服务。</w:t>
      </w:r>
    </w:p>
    <w:p>
      <w:pPr>
        <w:spacing w:line="560" w:lineRule="exact"/>
        <w:ind w:firstLine="632" w:firstLineChars="200"/>
      </w:pPr>
      <w:r>
        <w:rPr>
          <w:rFonts w:hint="eastAsia"/>
          <w:b/>
          <w:bCs/>
        </w:rPr>
        <w:t>第三十九条</w:t>
      </w:r>
      <w:r>
        <w:rPr>
          <w:rFonts w:hint="eastAsia"/>
        </w:rPr>
        <w:t xml:space="preserve">  本办法由湖北省交通运输厅负责解释。</w:t>
      </w:r>
    </w:p>
    <w:p>
      <w:pPr>
        <w:spacing w:line="560" w:lineRule="exact"/>
        <w:ind w:firstLine="632" w:firstLineChars="200"/>
      </w:pPr>
      <w:r>
        <w:rPr>
          <w:rFonts w:hint="eastAsia"/>
          <w:b/>
          <w:bCs/>
        </w:rPr>
        <w:t>第四十条</w:t>
      </w:r>
      <w:r>
        <w:rPr>
          <w:rFonts w:hint="eastAsia"/>
        </w:rPr>
        <w:t xml:space="preserve"> 本办法自2025年 月 日起施行。本办法施行之前省交通运输管理部门制定的服务区（停车区）行业规范性文件内容与本办法不一致的，以本办法的规定为准。</w:t>
      </w:r>
    </w:p>
    <w:p>
      <w:pPr>
        <w:pStyle w:val="2"/>
        <w:ind w:left="632" w:firstLine="632"/>
      </w:pPr>
    </w:p>
    <w:p>
      <w:pPr>
        <w:spacing w:line="560" w:lineRule="exact"/>
        <w:ind w:firstLine="632" w:firstLineChars="200"/>
      </w:pPr>
      <w:r>
        <w:rPr>
          <w:rFonts w:hint="eastAsia"/>
        </w:rPr>
        <w:t>附件：1.湖北省高速公路服务区（停车区）服务质量综合评价计分表</w:t>
      </w:r>
    </w:p>
    <w:p>
      <w:pPr>
        <w:spacing w:line="560" w:lineRule="exact"/>
        <w:ind w:firstLine="1264" w:firstLineChars="400"/>
      </w:pPr>
      <w:r>
        <w:rPr>
          <w:rFonts w:hint="eastAsia"/>
        </w:rPr>
        <w:t>2.湖北省高速公路服务区（停车区）服务质量评价细则</w:t>
      </w:r>
    </w:p>
    <w:p>
      <w:pPr>
        <w:pStyle w:val="5"/>
      </w:pPr>
    </w:p>
    <w:p/>
    <w:p>
      <w:pPr>
        <w:pStyle w:val="2"/>
        <w:ind w:left="632" w:firstLine="632"/>
      </w:pPr>
    </w:p>
    <w:p>
      <w:pPr>
        <w:pStyle w:val="2"/>
        <w:ind w:left="0" w:leftChars="0" w:firstLine="0" w:firstLineChars="0"/>
        <w:rPr>
          <w:rFonts w:hint="eastAsia"/>
        </w:rPr>
      </w:pPr>
    </w:p>
    <w:p>
      <w:pPr>
        <w:pStyle w:val="2"/>
        <w:ind w:left="0" w:leftChars="0" w:firstLine="0" w:firstLineChars="0"/>
        <w:jc w:val="left"/>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附件1</w:t>
      </w:r>
    </w:p>
    <w:p>
      <w:pPr>
        <w:pStyle w:val="2"/>
        <w:spacing w:after="0"/>
        <w:ind w:left="0" w:leftChars="0" w:firstLine="0" w:firstLineChars="0"/>
        <w:jc w:val="center"/>
        <w:rPr>
          <w:rFonts w:hint="eastAsia" w:ascii="方正小标宋简体" w:hAnsi="方正小标宋简体" w:eastAsia="方正小标宋简体" w:cs="方正小标宋简体"/>
          <w:w w:val="90"/>
          <w:sz w:val="36"/>
          <w:szCs w:val="36"/>
        </w:rPr>
      </w:pPr>
      <w:r>
        <w:rPr>
          <w:rFonts w:hint="eastAsia" w:ascii="方正小标宋简体" w:hAnsi="方正小标宋简体" w:eastAsia="方正小标宋简体" w:cs="方正小标宋简体"/>
          <w:w w:val="90"/>
          <w:sz w:val="36"/>
          <w:szCs w:val="36"/>
        </w:rPr>
        <w:t>湖北省高速公路服务区（停车区）服务质量综合评价计分表</w:t>
      </w:r>
    </w:p>
    <w:p>
      <w:pPr>
        <w:pStyle w:val="5"/>
      </w:pPr>
    </w:p>
    <w:p>
      <w:pPr>
        <w:pStyle w:val="5"/>
      </w:pPr>
      <w:r>
        <w:rPr>
          <w:rFonts w:hint="eastAsia" w:ascii="宋体" w:hAnsi="宋体" w:eastAsia="宋体" w:cs="宋体"/>
          <w:kern w:val="0"/>
          <w:sz w:val="21"/>
          <w:szCs w:val="21"/>
          <w:lang w:bidi="ar"/>
        </w:rPr>
        <w:t>服务区名称：</w:t>
      </w:r>
      <w:r>
        <w:rPr>
          <w:rFonts w:ascii="宋体" w:hAnsi="宋体" w:eastAsia="宋体" w:cs="宋体"/>
          <w:kern w:val="0"/>
          <w:sz w:val="21"/>
          <w:szCs w:val="21"/>
          <w:lang w:bidi="ar"/>
        </w:rPr>
        <w:t xml:space="preserve">                          </w:t>
      </w:r>
      <w:r>
        <w:rPr>
          <w:rFonts w:hint="eastAsia" w:ascii="宋体" w:hAnsi="宋体" w:eastAsia="宋体" w:cs="宋体"/>
          <w:kern w:val="0"/>
          <w:sz w:val="21"/>
          <w:szCs w:val="21"/>
          <w:lang w:bidi="ar"/>
        </w:rPr>
        <w:t xml:space="preserve">                 服务经营管理单位：</w:t>
      </w:r>
      <w:r>
        <w:rPr>
          <w:rFonts w:ascii="宋体" w:hAnsi="宋体" w:eastAsia="宋体" w:cs="宋体"/>
          <w:kern w:val="0"/>
          <w:sz w:val="21"/>
          <w:szCs w:val="21"/>
          <w:lang w:bidi="ar"/>
        </w:rPr>
        <w:t xml:space="preserve">  </w:t>
      </w:r>
    </w:p>
    <w:tbl>
      <w:tblPr>
        <w:tblStyle w:val="9"/>
        <w:tblW w:w="5000" w:type="pct"/>
        <w:jc w:val="center"/>
        <w:tblLayout w:type="fixed"/>
        <w:tblCellMar>
          <w:top w:w="0" w:type="dxa"/>
          <w:left w:w="108" w:type="dxa"/>
          <w:bottom w:w="0" w:type="dxa"/>
          <w:right w:w="108" w:type="dxa"/>
        </w:tblCellMar>
      </w:tblPr>
      <w:tblGrid>
        <w:gridCol w:w="493"/>
        <w:gridCol w:w="1065"/>
        <w:gridCol w:w="734"/>
        <w:gridCol w:w="3552"/>
        <w:gridCol w:w="2334"/>
        <w:gridCol w:w="882"/>
      </w:tblGrid>
      <w:tr>
        <w:tblPrEx>
          <w:tblCellMar>
            <w:top w:w="0" w:type="dxa"/>
            <w:left w:w="108" w:type="dxa"/>
            <w:bottom w:w="0" w:type="dxa"/>
            <w:right w:w="108" w:type="dxa"/>
          </w:tblCellMar>
        </w:tblPrEx>
        <w:trPr>
          <w:trHeight w:val="686" w:hRule="atLeast"/>
          <w:tblHeader/>
          <w:jc w:val="center"/>
        </w:trPr>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序号</w:t>
            </w: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评价指标</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分值（分）</w:t>
            </w:r>
          </w:p>
        </w:tc>
        <w:tc>
          <w:tcPr>
            <w:tcW w:w="19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评分内容</w:t>
            </w:r>
          </w:p>
        </w:tc>
        <w:tc>
          <w:tcPr>
            <w:tcW w:w="1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评分单位</w:t>
            </w:r>
          </w:p>
        </w:tc>
        <w:tc>
          <w:tcPr>
            <w:tcW w:w="4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得分</w:t>
            </w:r>
          </w:p>
        </w:tc>
      </w:tr>
      <w:tr>
        <w:tblPrEx>
          <w:tblCellMar>
            <w:top w:w="0" w:type="dxa"/>
            <w:left w:w="108" w:type="dxa"/>
            <w:bottom w:w="0" w:type="dxa"/>
            <w:right w:w="108" w:type="dxa"/>
          </w:tblCellMar>
        </w:tblPrEx>
        <w:trPr>
          <w:trHeight w:val="139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第三方评价</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20</w:t>
            </w:r>
          </w:p>
        </w:tc>
        <w:tc>
          <w:tcPr>
            <w:tcW w:w="19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每月开展第三方暗访，参照评分细则，按照20%权重计算各服务区（停车区）得分。</w:t>
            </w:r>
          </w:p>
        </w:tc>
        <w:tc>
          <w:tcPr>
            <w:tcW w:w="1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省公路事业发展中心</w:t>
            </w:r>
          </w:p>
        </w:tc>
        <w:tc>
          <w:tcPr>
            <w:tcW w:w="4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1243"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日常巡查</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20</w:t>
            </w:r>
          </w:p>
        </w:tc>
        <w:tc>
          <w:tcPr>
            <w:tcW w:w="19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根据相应职责建立日常巡查评价机制，参照评分细则，按照20%权重计算各服务区（停车区）得分。</w:t>
            </w:r>
          </w:p>
        </w:tc>
        <w:tc>
          <w:tcPr>
            <w:tcW w:w="1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省交通运输执法局</w:t>
            </w:r>
          </w:p>
        </w:tc>
        <w:tc>
          <w:tcPr>
            <w:tcW w:w="4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1337"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专项检查（抽查）</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w:t>
            </w:r>
          </w:p>
        </w:tc>
        <w:tc>
          <w:tcPr>
            <w:tcW w:w="19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参照评分细则，每发现一处问题扣0.1分，扣完为止。</w:t>
            </w:r>
          </w:p>
        </w:tc>
        <w:tc>
          <w:tcPr>
            <w:tcW w:w="1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sz w:val="21"/>
                <w:szCs w:val="21"/>
              </w:rPr>
            </w:pPr>
            <w:r>
              <w:rPr>
                <w:rFonts w:hint="eastAsia" w:ascii="宋体" w:hAnsi="宋体" w:eastAsia="宋体" w:cs="宋体"/>
                <w:kern w:val="0"/>
                <w:sz w:val="21"/>
                <w:szCs w:val="21"/>
                <w:lang w:bidi="ar"/>
              </w:rPr>
              <w:t>省交通运输厅、省公路事业发展中心、省交通运输综合行政执法局、省高速公路联网收费中心</w:t>
            </w:r>
          </w:p>
        </w:tc>
        <w:tc>
          <w:tcPr>
            <w:tcW w:w="4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1307"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w:t>
            </w: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年终评价</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40</w:t>
            </w:r>
          </w:p>
        </w:tc>
        <w:tc>
          <w:tcPr>
            <w:tcW w:w="19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每年年底开展一次年终评价，根据评分细则，按照40%权重计算各服务区（停车区）得分</w:t>
            </w:r>
          </w:p>
        </w:tc>
        <w:tc>
          <w:tcPr>
            <w:tcW w:w="1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省公路事业发展中心</w:t>
            </w:r>
          </w:p>
        </w:tc>
        <w:tc>
          <w:tcPr>
            <w:tcW w:w="4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1508"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公众满意度</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19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每年至少开展一次公众满意度调查，得分排于全省倒数第十扣0.5分，倒数第九扣1分，以此类推，排名倒数第一得0分。</w:t>
            </w:r>
          </w:p>
        </w:tc>
        <w:tc>
          <w:tcPr>
            <w:tcW w:w="1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省公路事业发展中心</w:t>
            </w:r>
          </w:p>
        </w:tc>
        <w:tc>
          <w:tcPr>
            <w:tcW w:w="4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1773"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w:t>
            </w: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投诉</w:t>
            </w:r>
            <w:r>
              <w:rPr>
                <w:rFonts w:hint="eastAsia" w:ascii="宋体" w:hAnsi="宋体" w:eastAsia="宋体" w:cs="宋体"/>
                <w:kern w:val="0"/>
                <w:sz w:val="21"/>
                <w:szCs w:val="21"/>
                <w:highlight w:val="yellow"/>
                <w:lang w:bidi="ar"/>
              </w:rPr>
              <w:t>管理</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19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统计96122电话、12345政务服务等平台投诉情况，对认定为有效服务投诉的每个扣0.5分，凡超时未办理投诉的服务区（停车区）每一个有效投诉投1分，扣完为止。</w:t>
            </w:r>
          </w:p>
        </w:tc>
        <w:tc>
          <w:tcPr>
            <w:tcW w:w="1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省公路事业发展中心、省高速公路联网收费中心</w:t>
            </w:r>
          </w:p>
        </w:tc>
        <w:tc>
          <w:tcPr>
            <w:tcW w:w="4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1865" w:hRule="atLeast"/>
          <w:jc w:val="center"/>
        </w:trPr>
        <w:tc>
          <w:tcPr>
            <w:tcW w:w="27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7</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加分项（加分最高限8分）</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19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在全省高速公路服务区（停车区）管理过程中，表现突出、具有表率作用，作为典型经验交流材料经交通运输部、省委省政府表扬的，每次加1分，经省厅、市政府表扬的每次加0.5分，最多加3分。（不重复累加，以最高层级表扬为准）</w:t>
            </w:r>
          </w:p>
        </w:tc>
        <w:tc>
          <w:tcPr>
            <w:tcW w:w="1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省公路事业发展中心</w:t>
            </w:r>
          </w:p>
        </w:tc>
        <w:tc>
          <w:tcPr>
            <w:tcW w:w="4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1159" w:hRule="atLeast"/>
          <w:jc w:val="center"/>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宋体" w:hAnsi="宋体" w:eastAsia="宋体" w:cs="宋体"/>
                <w:sz w:val="21"/>
                <w:szCs w:val="21"/>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宋体" w:hAnsi="宋体" w:eastAsia="宋体" w:cs="宋体"/>
                <w:sz w:val="21"/>
                <w:szCs w:val="21"/>
              </w:rPr>
            </w:pP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19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各高速公路经营管理单位使用专项资金，用于服务区（停车区）提档升级、提升服务质量，并提交相关佐证材料的，加5分。</w:t>
            </w:r>
          </w:p>
        </w:tc>
        <w:tc>
          <w:tcPr>
            <w:tcW w:w="1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省公路事业发展中心</w:t>
            </w:r>
          </w:p>
        </w:tc>
        <w:tc>
          <w:tcPr>
            <w:tcW w:w="4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1631" w:hRule="atLeast"/>
          <w:jc w:val="center"/>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宋体" w:hAnsi="宋体" w:eastAsia="宋体" w:cs="宋体"/>
                <w:sz w:val="21"/>
                <w:szCs w:val="21"/>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宋体" w:hAnsi="宋体" w:eastAsia="宋体" w:cs="宋体"/>
                <w:sz w:val="21"/>
                <w:szCs w:val="21"/>
              </w:rPr>
            </w:pP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9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重视宣传工作且具有新意，在传统媒体或新媒体上（如抖音、微博、新闻网站）获得较多关注和表扬的（以浏览量和点赞量为依据，微博、抖音点赞量2万以上，新闻网站浏览量1万以上），每次加0.5分，最多加2分。</w:t>
            </w:r>
          </w:p>
        </w:tc>
        <w:tc>
          <w:tcPr>
            <w:tcW w:w="1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省公路事业发展中心</w:t>
            </w:r>
          </w:p>
        </w:tc>
        <w:tc>
          <w:tcPr>
            <w:tcW w:w="4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1426" w:hRule="atLeast"/>
          <w:jc w:val="center"/>
        </w:trPr>
        <w:tc>
          <w:tcPr>
            <w:tcW w:w="272" w:type="pct"/>
            <w:tcBorders>
              <w:top w:val="single" w:color="000000" w:sz="4" w:space="0"/>
              <w:left w:val="single" w:color="000000" w:sz="4" w:space="0"/>
              <w:bottom w:val="nil"/>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8</w:t>
            </w:r>
          </w:p>
        </w:tc>
        <w:tc>
          <w:tcPr>
            <w:tcW w:w="587" w:type="pct"/>
            <w:tcBorders>
              <w:top w:val="single" w:color="000000" w:sz="4" w:space="0"/>
              <w:left w:val="single" w:color="000000" w:sz="4" w:space="0"/>
              <w:bottom w:val="nil"/>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扣分项（不设上限，扣完为止）</w:t>
            </w:r>
          </w:p>
        </w:tc>
        <w:tc>
          <w:tcPr>
            <w:tcW w:w="405" w:type="pct"/>
            <w:tcBorders>
              <w:top w:val="single" w:color="000000" w:sz="4" w:space="0"/>
              <w:left w:val="single" w:color="000000" w:sz="4" w:space="0"/>
              <w:bottom w:val="nil"/>
              <w:right w:val="single" w:color="000000" w:sz="4" w:space="0"/>
            </w:tcBorders>
            <w:shd w:val="clear" w:color="auto" w:fill="FFFFFF"/>
            <w:vAlign w:val="center"/>
          </w:tcPr>
          <w:p>
            <w:pPr>
              <w:widowControl/>
              <w:spacing w:line="240" w:lineRule="exact"/>
              <w:jc w:val="center"/>
              <w:rPr>
                <w:rFonts w:hint="eastAsia" w:ascii="宋体" w:hAnsi="宋体" w:eastAsia="宋体" w:cs="宋体"/>
                <w:sz w:val="21"/>
                <w:szCs w:val="21"/>
              </w:rPr>
            </w:pPr>
          </w:p>
        </w:tc>
        <w:tc>
          <w:tcPr>
            <w:tcW w:w="19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被部、省通报，省、厅领导批评，相关行政部门处罚，或中央、省、市级媒体曝光，且情况属实的，造成轻度影响的每次扣2分，中度影响的每次扣5分，情况严重的扣10分。</w:t>
            </w:r>
          </w:p>
        </w:tc>
        <w:tc>
          <w:tcPr>
            <w:tcW w:w="1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省公路事业发展中心</w:t>
            </w:r>
          </w:p>
        </w:tc>
        <w:tc>
          <w:tcPr>
            <w:tcW w:w="4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840" w:hRule="atLeast"/>
          <w:jc w:val="center"/>
        </w:trPr>
        <w:tc>
          <w:tcPr>
            <w:tcW w:w="86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合计</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宋体"/>
                <w:sz w:val="21"/>
                <w:szCs w:val="21"/>
              </w:rPr>
            </w:pPr>
            <w:r>
              <w:rPr>
                <w:rFonts w:eastAsia="宋体"/>
                <w:kern w:val="0"/>
                <w:sz w:val="21"/>
                <w:szCs w:val="21"/>
                <w:lang w:bidi="ar"/>
              </w:rPr>
              <w:t>100</w:t>
            </w:r>
          </w:p>
        </w:tc>
        <w:tc>
          <w:tcPr>
            <w:tcW w:w="373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rPr>
                <w:rFonts w:hint="eastAsia" w:ascii="宋体" w:hAnsi="宋体" w:eastAsia="宋体" w:cs="宋体"/>
                <w:sz w:val="21"/>
                <w:szCs w:val="21"/>
              </w:rPr>
            </w:pPr>
          </w:p>
        </w:tc>
      </w:tr>
    </w:tbl>
    <w:p>
      <w:pPr>
        <w:pStyle w:val="5"/>
      </w:pPr>
    </w:p>
    <w:p>
      <w:pPr>
        <w:pStyle w:val="2"/>
        <w:ind w:left="0" w:leftChars="0" w:firstLine="0" w:firstLineChars="0"/>
        <w:jc w:val="left"/>
        <w:rPr>
          <w:rFonts w:hint="eastAsia" w:ascii="方正小标宋简体" w:hAnsi="方正小标宋简体" w:eastAsia="方正小标宋简体" w:cs="方正小标宋简体"/>
          <w:sz w:val="36"/>
          <w:szCs w:val="36"/>
        </w:rPr>
      </w:pPr>
    </w:p>
    <w:p>
      <w:pPr>
        <w:pStyle w:val="2"/>
        <w:ind w:left="0" w:leftChars="0" w:firstLine="0" w:firstLineChars="0"/>
        <w:jc w:val="left"/>
        <w:rPr>
          <w:rFonts w:hint="eastAsia" w:ascii="方正小标宋简体" w:hAnsi="方正小标宋简体" w:eastAsia="方正小标宋简体" w:cs="方正小标宋简体"/>
          <w:sz w:val="36"/>
          <w:szCs w:val="36"/>
        </w:rPr>
      </w:pPr>
    </w:p>
    <w:p>
      <w:pPr>
        <w:pStyle w:val="2"/>
        <w:ind w:left="0" w:leftChars="0" w:firstLine="0" w:firstLineChars="0"/>
        <w:jc w:val="left"/>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附件2</w:t>
      </w:r>
    </w:p>
    <w:p>
      <w:pPr>
        <w:pStyle w:val="2"/>
        <w:ind w:left="0" w:leftChars="0" w:firstLine="0" w:firstLineChars="0"/>
        <w:jc w:val="center"/>
        <w:rPr>
          <w:rFonts w:hint="eastAsia" w:ascii="方正小标宋简体" w:hAnsi="方正小标宋简体" w:eastAsia="方正小标宋简体" w:cs="方正小标宋简体"/>
          <w:sz w:val="36"/>
          <w:szCs w:val="36"/>
        </w:rPr>
      </w:pPr>
      <w:r>
        <w:rPr>
          <w:rFonts w:ascii="方正小标宋简体" w:hAnsi="方正小标宋简体" w:eastAsia="方正小标宋简体" w:cs="方正小标宋简体"/>
          <w:sz w:val="36"/>
          <w:szCs w:val="36"/>
        </w:rPr>
        <w:t>湖北省高速公路服务区（停车区）服务质量评价</w:t>
      </w:r>
      <w:r>
        <w:rPr>
          <w:rFonts w:hint="eastAsia" w:ascii="方正小标宋简体" w:hAnsi="方正小标宋简体" w:eastAsia="方正小标宋简体" w:cs="方正小标宋简体"/>
          <w:sz w:val="36"/>
          <w:szCs w:val="36"/>
        </w:rPr>
        <w:t>细则</w:t>
      </w:r>
    </w:p>
    <w:tbl>
      <w:tblPr>
        <w:tblStyle w:val="9"/>
        <w:tblW w:w="5065" w:type="pct"/>
        <w:tblInd w:w="0" w:type="dxa"/>
        <w:tblLayout w:type="fixed"/>
        <w:tblCellMar>
          <w:top w:w="0" w:type="dxa"/>
          <w:left w:w="108" w:type="dxa"/>
          <w:bottom w:w="0" w:type="dxa"/>
          <w:right w:w="108" w:type="dxa"/>
        </w:tblCellMar>
      </w:tblPr>
      <w:tblGrid>
        <w:gridCol w:w="649"/>
        <w:gridCol w:w="708"/>
        <w:gridCol w:w="3249"/>
        <w:gridCol w:w="3234"/>
        <w:gridCol w:w="705"/>
        <w:gridCol w:w="633"/>
      </w:tblGrid>
      <w:tr>
        <w:tblPrEx>
          <w:tblCellMar>
            <w:top w:w="0" w:type="dxa"/>
            <w:left w:w="108" w:type="dxa"/>
            <w:bottom w:w="0" w:type="dxa"/>
            <w:right w:w="108" w:type="dxa"/>
          </w:tblCellMar>
        </w:tblPrEx>
        <w:trPr>
          <w:trHeight w:val="884" w:hRule="atLeast"/>
          <w:tblHeader/>
        </w:trPr>
        <w:tc>
          <w:tcPr>
            <w:tcW w:w="7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bidi="ar"/>
              </w:rPr>
            </w:pPr>
            <w:r>
              <w:rPr>
                <w:rStyle w:val="17"/>
                <w:rFonts w:hint="default"/>
                <w:color w:val="auto"/>
                <w:lang w:bidi="ar"/>
              </w:rPr>
              <w:t>评价内容</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kern w:val="0"/>
                <w:sz w:val="18"/>
                <w:szCs w:val="18"/>
                <w:lang w:bidi="ar"/>
              </w:rPr>
            </w:pPr>
            <w:r>
              <w:rPr>
                <w:rStyle w:val="17"/>
                <w:rFonts w:hint="default"/>
                <w:color w:val="auto"/>
                <w:lang w:bidi="ar"/>
              </w:rPr>
              <w:t>服务质量标准</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kern w:val="0"/>
                <w:sz w:val="18"/>
                <w:szCs w:val="18"/>
                <w:lang w:bidi="ar"/>
              </w:rPr>
            </w:pPr>
            <w:r>
              <w:rPr>
                <w:rStyle w:val="17"/>
                <w:rFonts w:hint="default"/>
                <w:color w:val="auto"/>
                <w:lang w:bidi="ar"/>
              </w:rPr>
              <w:t>扣分标准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kern w:val="0"/>
                <w:sz w:val="18"/>
                <w:szCs w:val="18"/>
                <w:lang w:bidi="ar"/>
              </w:rPr>
            </w:pPr>
            <w:r>
              <w:rPr>
                <w:rStyle w:val="17"/>
                <w:rFonts w:hint="default"/>
                <w:color w:val="auto"/>
                <w:lang w:bidi="ar"/>
              </w:rPr>
              <w:t>分值</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sz w:val="21"/>
                <w:szCs w:val="21"/>
              </w:rPr>
            </w:pPr>
            <w:r>
              <w:rPr>
                <w:rStyle w:val="17"/>
                <w:rFonts w:hint="default"/>
                <w:color w:val="auto"/>
                <w:lang w:bidi="ar"/>
              </w:rPr>
              <w:t>得分</w:t>
            </w:r>
          </w:p>
        </w:tc>
      </w:tr>
      <w:tr>
        <w:tblPrEx>
          <w:tblCellMar>
            <w:top w:w="0" w:type="dxa"/>
            <w:left w:w="108" w:type="dxa"/>
            <w:bottom w:w="0" w:type="dxa"/>
            <w:right w:w="108" w:type="dxa"/>
          </w:tblCellMar>
        </w:tblPrEx>
        <w:trPr>
          <w:trHeight w:val="450" w:hRule="atLeast"/>
        </w:trPr>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基础管理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人员配置</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1.按照规范要求，合理配备服务区负责人、管理人员、保安保洁等。</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未按标准配备服务区负责人、管理人员、保安保洁，每少一名扣0.5分，扣完为止。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90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制度建设</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2.按要求制定并落实满足经营服务需要的管理制度、工作流程、岗位职责、服务标准及监督检查机制。</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无经营服务规章制度、操作规程，扣2分；规章制度、操作规程不健全的，扣1分；规章制度、操作规程与法律法规、行业标准规定不符的，每个扣0.5分，扣完为止；规章制度、操作规程落实不到位的，每次扣0.5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90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承包经营</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3.对外承包经营的，应当采取服务质量招投标的方式确定承包经营者。经营方式发生改变，或新建（改扩建）服务区（停车区）采取对外承包经营方式的，应向省公路事业发展中心报告。</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未采取服务质量优先招标确定经营服务项目承包经营者的，扣2分。经营方式发生变化，或新建（改扩建）服务区（停车区）采取对外承包经营方式，未及时报告的，扣1分。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675"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公共服务</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4.公益性设施以及相关公共服务应由高速公路经营管理单位纳入高速公路运营成本，不得与服务区经营服务项目捆绑转包或与服务区经营收入挂钩。</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公益性服务与其他经营服务项目捆绑转包给其他经营者或与服务区经营收入挂钩的，扣3分；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676"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经费保障</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5.公益性设施和公共服务经费保障充足。</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公益性设施和公共服务无经费保障的，扣3分；经费保障不足的，扣1分。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基本功能</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公共卫生 间</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6.便器数量与日常旅客峰值相匹配，满足非重大节假日司乘人员需要。</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厕位数量不符合《高速公路服务区（停车区）服务设施规范》要求的，每少1个扣0.2分，扣完为止。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7.有完好可用的第三卫生间、老年人和儿童卫生洁具，残疾人专用卫生设施。</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洁具和设施设备缺失或损坏1件扣0.2分；功能不全，缺失1项扣0.2分，扣完为止。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8.重大节假日期间遇有排队如厕现象，及时开启简易或临时卫生间等辅助设施。</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出现排队如厕现象每1分钟扣2分，扣完为止，出现排队现象及时开启简易卫生间等设施暂不扣分。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9.私密性强，厕位之间有隔断板和门，男厕小便位间设有隔板。</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隔板缺失1块扣0.2分，扣完为止，已提示等待维修的不扣分。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675"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10.地面、墙体、顶棚、门窗无缺失、破损、锈蚀现象；各类便器、洁具、水龙头、灯具、换气设备完好可用，无缺失、破损、锈蚀现象。</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发现缺失或损坏1件扣2分，提示等待维修的不扣分。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11.设置文明用厕宣传标识、标牌。</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未设置任何宣传标识，扣1分，宣传标识不规范、不美观、有破损现象，每处扣0.1分。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27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12.提供洗手液和干手设施。</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未提供洗手液，扣0.5分；未提供干手设施，扣0.5分。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675"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13.冬季为司乘人员提供温度适宜的洗漱用水。</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未设置温水洗手设施或设施损坏无法使用，扣1分；男女共用洗手池能提供温水的龙头数量少于5个，或男女分离洗手池能提供温水的龙头数量平均少于3个，扣0.5分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675"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14.摆放盆景、盆花等装饰品，播放背景音乐。</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未摆放盆景、盆花等装饰品，扣0.5分；未播放音乐，扣0.5分；盆景、盆花出现褪色、凋零、干枯等现象，每处扣0.1分。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675"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公共场区</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15.交通标志标线符合相关标准，齐全清晰。</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交通标识不符合国家相关标准，扣0.5分；公共标识不符合国家相关标准，扣0.5分；检查每发现一处标志标线缺失或不清晰，扣0.1分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675"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16.综合楼、停车场、公共卫生间、加油站、维修站等，进行交通流线设计，合理布设。人流、车流路线明确、简捷、安全。</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有交通流线设计，但人流、车流路线不明确，有交叉通行现象，扣0.5分；无交通流线设计，人流、车流线路不明确，存在较大安全隐患，扣1分。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13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17.停车位数量与交通量、车辆构成相适应，且充分利用场地，方便车辆安全停放、进出方便。</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停车位数量不符合《高速公路服务区（停车区）服务设施规范》要求的，每少1个扣0.2分，扣完为止。因停车位数量不足，导致车辆不能按位停放，但不影响车辆进出，扣0.2分；因停车位数量不足，导致车辆不能安全停放，进出缓慢，扣0.3分；因停车位数量不足，导致车辆不能安全停放，进出困难，造成服务区拥堵，扣1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90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18.车辆分区按序停放，小型客车、大型客车、大型货车分区停放。危险化学品车、牲畜运输车专区停放，选址合理。公共场区秩序良好。</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小型客车、大型客车、大型货车停车位未分区，扣0.5分；未设置危险化学品车或牲畜运输车专用停车位，扣0.5分；危险化学品车专用停车位或牲畜运输车专用停车位选址不合理的，扣0.2分。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19.照明设施齐全完好，停车区域夜间照明良好、无盲点。</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每发现一处照明设施损坏，扣0.1分，扣完为止；停车广场照明设施数量不足，有盲点，扣0.5分。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1125"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20.重点区域设置有监控设备，出入口匝道设置有车流量监测设备，综合楼设置有人流量监测设备，并统一接入省级服务区管理平台。监测、监控设施设备完好、监控图像清晰完整，监控视频资料至少可回放30日。</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未设置车流量监测设备的，扣0.3分；未设置人流量监测设备的，扣0.2分；监测、监控设备未接入省级服务区管理平台的，扣0.5分。每发现一处监测、监控设施损坏，扣0.1分；监控图像不够清晰完整，未按规定保存监控资料，扣0.3分；监控设施数量不足，有盲点，扣0.5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21.设置室内外休息区或简易休息设施，方便驾乘人员临时休息。</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未设置休息区或休息设施，扣1分；休息设施损坏无法使用，每发现一处扣0.1分。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22.利用有效空间，宣传交通政策法规，倡导文明驾驶、安全出行。</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未设置宣传标识，扣1分；宣传标识不规范、不美观、有破损现象，每处扣0.1分，扣完为止。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675"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23.在服务区（停车区）综合楼醒目区域设置公示牌，公示服务承诺、服务质量评价结果，公开投诉举报电话和负责人联系方式。</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设立公示栏，但负责人联系方式无人接听，扣0.2分；未规范设立公示栏，公示服务承诺、服务质量评价结果、投诉举报电话和负责人联系方式每少一项，扣0.2分，扣完为止。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27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24.无非法摆摊设点现象。</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每发现一处扣0.5分，扣完为止。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25.保安全天候值守，严格执行巡检制度，巡检记录内容完整可查。</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未见保安值守，扣1分；无巡检记录或巡检记录不全扣0.5分。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26.配有符合消防部门要求的消防器材。各类消防器材完好可用。灭火器有托架，与地面距离符合标准。</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配备的消防器材不符合标准或不可用，每处扣0.2分；未配备消防器材，扣1分。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餐饮</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27.证照齐全，营业执照、食品经营许可证、员工健康证等证照在明显位置公开悬挂。</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证照齐全，但未按规定悬挂于明显位置，扣0.2分；证照不全，每少一项扣0.2分，扣完为止。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28.用餐位与日常旅客峰值相适应，满足非重大节假日驾乘人员就餐需要。</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因就餐位数量少造成顾客排队等餐超过15分钟（含）的，扣2分。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27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29.餐桌椅完好，无破损残缺，色感清洁温暖。</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每发现一处问题扣0.2分，扣完为止。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27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30.有防鼠、防蝇的防范措施。</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缺少一样扣0.2分，扣完为止。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31.食品留样种类与所售菜品种类一致，留样应在48小时。</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发现一样不符合扣0.2分，扣完为止。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32.配有符合消防部门要求的消防器材，各类消防器材完好可用。灭火器有托架，与地面距离符合标准。</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配备的消防器材不符合标准或不可用，每处扣0.2分；未配备消防器材，扣1分。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675"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33.食材进货渠道符合餐饮业相关法规，实行索证和台账管理制度。无假冒伪劣商品。</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不能提供索证和进货台账，扣1分；索证和进货台账填写不齐全、不规范，扣0.5分；发现假冒伪劣商品，每处扣0.5分，扣完为止。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34.各种食品、调料、配料质量合格，无发霉、污染、变质、过期等现象，产品外包装符合相关规定。</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每发现一处问题扣0.2分，扣完为止。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78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35.餐具按照规定消毒；后厨案板、储藏按生、熟、荤、素分区管理。</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后厨案板、刀具等管理，每发现一处问题扣0.2分，扣完为止；负责餐具消毒员工无法准确回答消毒作业流程，扣0.5分。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highlight w:val="yellow"/>
                <w:lang w:bidi="ar"/>
              </w:rPr>
              <w:t>超市</w:t>
            </w:r>
            <w:r>
              <w:rPr>
                <w:rFonts w:hint="eastAsia" w:ascii="宋体" w:hAnsi="宋体" w:eastAsia="宋体" w:cs="宋体"/>
                <w:kern w:val="0"/>
                <w:sz w:val="21"/>
                <w:szCs w:val="21"/>
                <w:lang w:bidi="ar"/>
              </w:rPr>
              <w:t>（便利店）</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36.证照齐全，经营许可证在明显位置公开悬挂。</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证照齐全，但未按规定悬挂于明显位置，扣0.2分；证照不全，每少一项扣0.2分，扣完为止。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27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37.能为司乘人员提供全天候服务。</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未实行24小时服务，扣1分。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675"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38.经销的各类商品符合法律法规要求，无假冒伪劣商品。无“三无”产品和过期变质商品销售，包装需完好、美观、洁净，密封及真空包装商品没有漏气现象</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每发现一处问题扣0.2分，扣完为止。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675"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39.商品明码标价，价签齐全，内容完整，标价准确， 一货一签，摆放醒目；公平交易，无强买强卖现象。</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发生强买强卖现象，扣1分；商品未标明价签公示价格，每处扣0.2分，扣完为止；同一商品有多个不同价格的价签，每处扣0.1分，扣完为止。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675"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41.在醒目位置设置有“同城同价”专柜，瓶装水和方便面等大众化商品实行“同城同价”，“同城同价”商品货品充足，未出现短缺或摆放不全现象。</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未设置“同城同价”专柜，扣2分，“同城同价”位置不醒目的，扣1分；“同城同价”商品种类货品不充足的，扣1分。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42.配有符合消防部门要求的消防器材。各类消防器材完好可用。灭火器有托架，与地面距离符合标准。</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配备的消防器材不符合标准或不可用，每处扣2分；未配备消防器材，扣10分。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highlight w:val="yellow"/>
                <w:lang w:bidi="ar"/>
              </w:rPr>
              <w:t>综合能源补给</w:t>
            </w:r>
            <w:r>
              <w:rPr>
                <w:rFonts w:hint="eastAsia" w:ascii="宋体" w:hAnsi="宋体" w:eastAsia="宋体" w:cs="宋体"/>
                <w:kern w:val="0"/>
                <w:sz w:val="21"/>
                <w:szCs w:val="21"/>
                <w:lang w:bidi="ar"/>
              </w:rPr>
              <w:t>（油、气、充电站等）</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43.证照齐全，经营许可证在明显位置公开悬挂。</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证照齐全，但未按规定悬挂于明显位置，扣0.2分；证照不全，每少一项扣0.2分，扣完为止。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44.加油枪数量按照路段交通流量配置，能够满足日常加油需要。</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不能满足车辆用汽油和柴油标号需求，扣1分；排队车辆超过5台，且有加油设备闲置不使用，扣1分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27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45.加油机、加油枪、充电枪设备完好，能够正常工作。</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每发现一处问题扣0.2分，扣完为止。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46.明码标价、摆放醒目、标号齐全、质量可靠、储备充足，计量清晰可辨、准确。</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每发现一处问题扣0.2分，扣完为止。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27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47.充电车位数占小客车车位数比例≥10%。</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每少一个充电车位扣0.2分，扣完为止。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27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48.能够提供全天候加油、加气、充电服务。</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未提供全天候服务，扣1分。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49.配有符合消防部门要求的消防器材。各类消防器材完好可用，灭火器有托架，与地面距离符合标准。</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配备的消防器材不符合标准或不可用，每处扣0.2分；未配备消防器材，扣1分。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50.加油站、加气站设有防火墙、安全岛、护栏杆，且符合消防标准，消防铁锹、桶、钩及石棉毯配置齐全。</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每缺少一项扣0.2分，扣完为止。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27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51.罐区、卸口配备符合地方管理标准的消防物品。</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每缺少一项扣0.2分，扣完为止。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27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52.设置明显的禁火、防辐射标志、安全警示标志。</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每缺少一项扣0.2分，扣完为止。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27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53.室内外无吸烟及存放易燃易爆等危险品现象。</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每发现一处问题扣0.2分，扣完为止。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1125" w:hRule="atLeast"/>
        </w:trPr>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b/>
                <w:bCs/>
                <w:sz w:val="22"/>
                <w:szCs w:val="22"/>
              </w:rPr>
            </w:pPr>
            <w:r>
              <w:rPr>
                <w:rFonts w:hint="eastAsia" w:ascii="宋体" w:hAnsi="宋体" w:eastAsia="宋体" w:cs="宋体"/>
                <w:b/>
                <w:bCs/>
                <w:kern w:val="0"/>
                <w:sz w:val="21"/>
                <w:szCs w:val="21"/>
                <w:lang w:bidi="ar"/>
              </w:rPr>
              <w:t>公共</w:t>
            </w:r>
            <w:r>
              <w:rPr>
                <w:rFonts w:hint="eastAsia" w:ascii="宋体" w:hAnsi="宋体" w:eastAsia="宋体" w:cs="宋体"/>
                <w:b/>
                <w:bCs/>
                <w:kern w:val="0"/>
                <w:sz w:val="22"/>
                <w:szCs w:val="22"/>
                <w:lang w:bidi="ar"/>
              </w:rPr>
              <w:t>服务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司机之家（司乘之家）</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54.B级以上服务区除提供公共服务外，应设置具备休息、宣传教育、淋浴、饭菜加热等基本功能的司机之家，面积不少于80平方米。c级服务区、停车区应设置具备休息、餐饮、开水供应、母婴室等功能的司乘之家，面积不少于300平方米。</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未按要求设置“司机之家”或“司乘之家”的，扣1分；“司机之家”或“司乘之家”服务功能每少1项扣0.2分，扣完为止。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116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2"/>
                <w:szCs w:val="22"/>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开水间</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55.24小时提供免费饮用开水。</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不能24小时提供免费饮用开水的，扣2分；未设置开水间的，扣0.5分；开水设施不符合要求的，每发现一处问题扣0.2分。开水机损坏无法正常使用的，扣0.5分；开水间卫生环境差的，扣0.2分；开水间没有清晰的指示标识或标识不规范的，扣2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Cs w:val="32"/>
              </w:rPr>
            </w:pPr>
          </w:p>
        </w:tc>
      </w:tr>
      <w:tr>
        <w:tblPrEx>
          <w:tblCellMar>
            <w:top w:w="0" w:type="dxa"/>
            <w:left w:w="108" w:type="dxa"/>
            <w:bottom w:w="0" w:type="dxa"/>
            <w:right w:w="108" w:type="dxa"/>
          </w:tblCellMar>
        </w:tblPrEx>
        <w:trPr>
          <w:trHeight w:val="675"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2"/>
                <w:szCs w:val="22"/>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无障碍设施</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56.停车场、室外公共卫生间、综合服务楼等场所设置了缘石坡道、轮椅坡道等，坡道坡度、宽度、高度、扶手设计符合相关要求。</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未按规范设置无障碍设施的，每少一项扣0.2分；无障碍设施无法正常使用的，每处扣0.2分，扣完为止。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2"/>
                <w:szCs w:val="22"/>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母婴室</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57.设置有母婴室，私密性好，设施齐全。</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未设置母婴室的，扣1分；母婴室不私密的，扣0.5分；母婴室设施缺失或损坏的，每处扣0.2分。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2"/>
                <w:szCs w:val="22"/>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应急医疗</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58.按照《交通医疗急救箱配置标准指导目录（试行）》标准设置医疗设施，服务区配备AED自动体外除颤仪。</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未设置医疗箱的，扣1分；医疗箱物品种类不全的扣0.2分；服务区未配备AED自动体外除颤仪的，扣0.5分。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540" w:hRule="atLeast"/>
        </w:trPr>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形象管理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VI形象标识</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59.服务区外观形象、服务标识符合《湖北省公路服务区VI形象标准指南》要求。</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未根据《指南》设置标志、标识，扣2分。每有一项不符合要求，扣0.2分，扣完为止。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文明服务</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60.服务区全体工作人员应规范着装，佩戴工号牌，仪容仪表干净整洁。</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每发现一处问题扣0.2分，扣完为止。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61.在岗期间无聚众聊天、吃零食、玩手机等与工作无关的行为。</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每发现一处问题扣0.2分，扣完为止。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27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62.户外工作期间统一着反光衣或反光背心。</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每发现一处问题扣0.2分，扣完为止。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63.对待过往旅客态度随和亲切，不与司乘人员发生争辩、谩骂；如有旅客咨询问题应礼貌应答。</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每发现一处问题扣0.2分，扣完为止。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675"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环境卫生</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64.公共场所及各经营场所应保持卫生清洁、各类设施摆放整齐，做到无废弃物、无积水、无异味、无蚊蝇、无杂物。</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每发现一处问题扣0.2分，扣完为止。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675"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65.公共场区垃圾箱外表整洁，分布均匀合理，美观适用，箱内垃圾不超过2/3。公共卫生间纸篓统一套袋，纸篓内垃圾不超过2/3。</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卫生间纸篓未套袋的，每发现一处问题扣0.2分；公共场区垃圾箱垃圾超过2/3但未溢出，每发现一处问题扣2分；垃圾已溢出，每发现一处问题扣3分。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66.室内公共活动区域和经营场所温度适宜。</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冬季室内温度低于16摄氏度，扣1分；夏季室内温度高于28摄氏度，扣1分。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67.保洁实行专业化物业管理和标准化作业，做好循环清洁，做好检查记录。</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每发现一处问题扣0.2分，扣完为止。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90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绿化</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68.绿化景观符合湖北省高速公路路域环境绿化工作标准，场区内无黄土裸露，绿植或硬化全覆盖。</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绿化覆盖率不足或有明显黄土裸露（单个面积大于1平方米）扣1分；树木未及时修剪的扣0.5分；树木有病害但未进行医治的，每处扣0.2分；有死树未及时移除的，每处扣0.2分，扣完为止。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exact"/>
              <w:jc w:val="left"/>
              <w:rPr>
                <w:rFonts w:eastAsia="宋体"/>
                <w:sz w:val="21"/>
                <w:szCs w:val="21"/>
              </w:rPr>
            </w:pPr>
          </w:p>
        </w:tc>
      </w:tr>
      <w:tr>
        <w:tblPrEx>
          <w:tblCellMar>
            <w:top w:w="0" w:type="dxa"/>
            <w:left w:w="108" w:type="dxa"/>
            <w:bottom w:w="0" w:type="dxa"/>
            <w:right w:w="108" w:type="dxa"/>
          </w:tblCellMar>
        </w:tblPrEx>
        <w:trPr>
          <w:trHeight w:val="4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环保</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69.服务区排污、排水设施完好，排污达标、排水畅通，生活垃圾及时集中进行无害化处理。</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ascii="仿宋_GB2312" w:hAnsi="宋体" w:eastAsia="仿宋_GB2312" w:cs="仿宋_GB2312"/>
                <w:sz w:val="18"/>
                <w:szCs w:val="18"/>
              </w:rPr>
            </w:pPr>
            <w:r>
              <w:rPr>
                <w:rFonts w:hint="eastAsia" w:ascii="仿宋_GB2312" w:hAnsi="宋体" w:eastAsia="仿宋_GB2312" w:cs="仿宋_GB2312"/>
                <w:kern w:val="0"/>
                <w:sz w:val="18"/>
                <w:szCs w:val="18"/>
                <w:lang w:bidi="ar"/>
              </w:rPr>
              <w:t>排污、排水、垃圾处理不符合环保要求的扣1分。相关设备损坏不能正常使用的，每项扣0.5分，扣完为止。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rPr>
                <w:rFonts w:hint="eastAsia" w:ascii="宋体" w:hAnsi="宋体" w:eastAsia="宋体" w:cs="宋体"/>
                <w:sz w:val="22"/>
                <w:szCs w:val="22"/>
              </w:rPr>
            </w:pPr>
          </w:p>
        </w:tc>
      </w:tr>
      <w:tr>
        <w:tblPrEx>
          <w:tblCellMar>
            <w:top w:w="0" w:type="dxa"/>
            <w:left w:w="108" w:type="dxa"/>
            <w:bottom w:w="0" w:type="dxa"/>
            <w:right w:w="108" w:type="dxa"/>
          </w:tblCellMar>
        </w:tblPrEx>
        <w:trPr>
          <w:trHeight w:val="44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sz w:val="21"/>
                <w:szCs w:val="21"/>
              </w:rPr>
            </w:pPr>
            <w:r>
              <w:rPr>
                <w:rFonts w:hint="eastAsia" w:ascii="宋体" w:hAnsi="宋体" w:eastAsia="宋体" w:cs="宋体"/>
                <w:b/>
                <w:bCs/>
                <w:sz w:val="21"/>
                <w:szCs w:val="21"/>
              </w:rPr>
              <w:t>备注</w:t>
            </w:r>
          </w:p>
        </w:tc>
        <w:tc>
          <w:tcPr>
            <w:tcW w:w="46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hint="eastAsia" w:ascii="宋体" w:hAnsi="宋体" w:eastAsia="仿宋_GB2312" w:cs="宋体"/>
                <w:sz w:val="22"/>
                <w:szCs w:val="22"/>
              </w:rPr>
            </w:pPr>
            <w:r>
              <w:rPr>
                <w:rFonts w:hint="eastAsia" w:ascii="仿宋_GB2312" w:hAnsi="仿宋_GB2312" w:eastAsia="仿宋_GB2312" w:cs="仿宋_GB2312"/>
                <w:kern w:val="0"/>
                <w:sz w:val="16"/>
                <w:szCs w:val="16"/>
                <w:lang w:bidi="ar"/>
              </w:rPr>
              <w:t>考虑到各服务区特点和公众出行需求，客房和汽修等经营设施确因无相关需求而暂不作为考核项目。停车区无加油、餐饮、购物等设施的，该项得分可暂按相应评价项目的70%分值计入总分。</w:t>
            </w:r>
          </w:p>
        </w:tc>
      </w:tr>
    </w:tbl>
    <w:p>
      <w:pPr>
        <w:pStyle w:val="5"/>
      </w:pPr>
    </w:p>
    <w:p/>
    <w:sectPr>
      <w:footerReference r:id="rId3" w:type="default"/>
      <w:pgSz w:w="11906" w:h="16838"/>
      <w:pgMar w:top="2098" w:right="1474" w:bottom="1984" w:left="1588" w:header="851" w:footer="1400"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Arial">
    <w:altName w:val="DejaVu Sans"/>
    <w:panose1 w:val="020B0604020202020204"/>
    <w:charset w:val="00"/>
    <w:family w:val="swiss"/>
    <w:pitch w:val="default"/>
    <w:sig w:usb0="00000000" w:usb1="00000000" w:usb2="00000009" w:usb3="00000000" w:csb0="000001FF" w:csb1="00000000"/>
  </w:font>
  <w:font w:name="仿宋_GB2312">
    <w:altName w:val="方正仿宋_GBK"/>
    <w:panose1 w:val="00000000000000000000"/>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right"/>
      <w:rPr>
        <w:rFonts w:hint="eastAsia" w:ascii="宋体" w:hAnsi="宋体" w:eastAsia="宋体" w:cs="宋体"/>
        <w:sz w:val="28"/>
      </w:rPr>
    </w:pPr>
    <w:r>
      <w:rPr>
        <w:rFonts w:hint="eastAsia" w:ascii="宋体" w:hAnsi="宋体" w:cs="宋体"/>
        <w:sz w:val="28"/>
      </w:rPr>
      <w:t xml:space="preserve">— </w:t>
    </w:r>
    <w:r>
      <w:rPr>
        <w:rFonts w:hint="eastAsia" w:ascii="宋体" w:hAnsi="宋体" w:cs="宋体"/>
        <w:sz w:val="28"/>
      </w:rPr>
      <w:fldChar w:fldCharType="begin"/>
    </w:r>
    <w:r>
      <w:rPr>
        <w:rFonts w:hint="eastAsia" w:ascii="宋体" w:hAnsi="宋体" w:cs="宋体"/>
        <w:sz w:val="28"/>
      </w:rPr>
      <w:instrText xml:space="preserve"> PAGE \* Arabic \* MERGEFORMAT </w:instrText>
    </w:r>
    <w:r>
      <w:rPr>
        <w:rFonts w:hint="eastAsia" w:ascii="宋体" w:hAnsi="宋体" w:cs="宋体"/>
        <w:sz w:val="28"/>
      </w:rPr>
      <w:fldChar w:fldCharType="separate"/>
    </w:r>
    <w:r>
      <w:rPr>
        <w:rFonts w:hint="eastAsia" w:ascii="宋体" w:hAnsi="宋体" w:cs="宋体"/>
        <w:sz w:val="28"/>
      </w:rPr>
      <w:t>1</w:t>
    </w:r>
    <w:r>
      <w:rPr>
        <w:rFonts w:hint="eastAsia" w:ascii="宋体" w:hAnsi="宋体" w:cs="宋体"/>
        <w:sz w:val="28"/>
      </w:rPr>
      <w:fldChar w:fldCharType="end"/>
    </w:r>
    <w:r>
      <w:rPr>
        <w:rFonts w:hint="eastAsia" w:ascii="宋体" w:hAnsi="宋体" w:cs="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8"/>
  <w:drawingGridVerticalSpacing w:val="290"/>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ZjNhNjk0OTUzZDU1OGVmMGRhYjM3ODkwN2Y3NDgifQ=="/>
    <w:docVar w:name="KSO_WPS_MARK_KEY" w:val="99dfa359-6d61-4db2-a9a7-10ac40f6c2ff"/>
  </w:docVars>
  <w:rsids>
    <w:rsidRoot w:val="008E43F7"/>
    <w:rsid w:val="00013F1D"/>
    <w:rsid w:val="00040424"/>
    <w:rsid w:val="00053A4B"/>
    <w:rsid w:val="0007675F"/>
    <w:rsid w:val="000862B0"/>
    <w:rsid w:val="00094652"/>
    <w:rsid w:val="000A56A8"/>
    <w:rsid w:val="000C02F7"/>
    <w:rsid w:val="000C2940"/>
    <w:rsid w:val="000E09CF"/>
    <w:rsid w:val="000E5612"/>
    <w:rsid w:val="00136BBE"/>
    <w:rsid w:val="001924B0"/>
    <w:rsid w:val="001B26A2"/>
    <w:rsid w:val="001C5B46"/>
    <w:rsid w:val="001D4807"/>
    <w:rsid w:val="001D6A42"/>
    <w:rsid w:val="00203655"/>
    <w:rsid w:val="00231C1A"/>
    <w:rsid w:val="00276552"/>
    <w:rsid w:val="0028403A"/>
    <w:rsid w:val="00294F2B"/>
    <w:rsid w:val="002A168B"/>
    <w:rsid w:val="002B3986"/>
    <w:rsid w:val="002C05CE"/>
    <w:rsid w:val="002D0E34"/>
    <w:rsid w:val="002F2DF7"/>
    <w:rsid w:val="002F5392"/>
    <w:rsid w:val="00306EA7"/>
    <w:rsid w:val="00330E4E"/>
    <w:rsid w:val="00332203"/>
    <w:rsid w:val="00360002"/>
    <w:rsid w:val="0036088F"/>
    <w:rsid w:val="003A13C1"/>
    <w:rsid w:val="003A6CDE"/>
    <w:rsid w:val="003A6D03"/>
    <w:rsid w:val="003B2272"/>
    <w:rsid w:val="00461158"/>
    <w:rsid w:val="00472B49"/>
    <w:rsid w:val="004973F2"/>
    <w:rsid w:val="004A05F1"/>
    <w:rsid w:val="004A5B5A"/>
    <w:rsid w:val="004C1908"/>
    <w:rsid w:val="004F4878"/>
    <w:rsid w:val="00541ED8"/>
    <w:rsid w:val="00550857"/>
    <w:rsid w:val="00554160"/>
    <w:rsid w:val="00572D00"/>
    <w:rsid w:val="005768A6"/>
    <w:rsid w:val="00587DD4"/>
    <w:rsid w:val="005B65C0"/>
    <w:rsid w:val="005D46A1"/>
    <w:rsid w:val="005E39B0"/>
    <w:rsid w:val="005E519A"/>
    <w:rsid w:val="00626B0D"/>
    <w:rsid w:val="006C1234"/>
    <w:rsid w:val="006E42FD"/>
    <w:rsid w:val="006F599A"/>
    <w:rsid w:val="00770E98"/>
    <w:rsid w:val="00777A14"/>
    <w:rsid w:val="00787B2E"/>
    <w:rsid w:val="007904BF"/>
    <w:rsid w:val="007A19B0"/>
    <w:rsid w:val="007B05D8"/>
    <w:rsid w:val="007F62AD"/>
    <w:rsid w:val="007F7531"/>
    <w:rsid w:val="007F7A5E"/>
    <w:rsid w:val="00801E3D"/>
    <w:rsid w:val="00841EE0"/>
    <w:rsid w:val="008612AB"/>
    <w:rsid w:val="00866602"/>
    <w:rsid w:val="0089185E"/>
    <w:rsid w:val="00894607"/>
    <w:rsid w:val="008C1E74"/>
    <w:rsid w:val="008E2E1A"/>
    <w:rsid w:val="008E43F7"/>
    <w:rsid w:val="008E74B8"/>
    <w:rsid w:val="009536A0"/>
    <w:rsid w:val="00971B5B"/>
    <w:rsid w:val="00973A83"/>
    <w:rsid w:val="0098430D"/>
    <w:rsid w:val="00993E42"/>
    <w:rsid w:val="009B4839"/>
    <w:rsid w:val="009C2134"/>
    <w:rsid w:val="009D011F"/>
    <w:rsid w:val="009E5191"/>
    <w:rsid w:val="00A33B1D"/>
    <w:rsid w:val="00A46787"/>
    <w:rsid w:val="00A46D5C"/>
    <w:rsid w:val="00A777B5"/>
    <w:rsid w:val="00A849EA"/>
    <w:rsid w:val="00AA0A7B"/>
    <w:rsid w:val="00AE00B5"/>
    <w:rsid w:val="00B149CA"/>
    <w:rsid w:val="00B44220"/>
    <w:rsid w:val="00BA4490"/>
    <w:rsid w:val="00BA4998"/>
    <w:rsid w:val="00BA561C"/>
    <w:rsid w:val="00BB5D14"/>
    <w:rsid w:val="00BF7EF1"/>
    <w:rsid w:val="00C00C3A"/>
    <w:rsid w:val="00C1139E"/>
    <w:rsid w:val="00C634E1"/>
    <w:rsid w:val="00CA1C53"/>
    <w:rsid w:val="00CE2B62"/>
    <w:rsid w:val="00D12A71"/>
    <w:rsid w:val="00D51DDD"/>
    <w:rsid w:val="00D73B6A"/>
    <w:rsid w:val="00D82F7C"/>
    <w:rsid w:val="00D87A37"/>
    <w:rsid w:val="00D95A72"/>
    <w:rsid w:val="00DC4CDE"/>
    <w:rsid w:val="00DF33A0"/>
    <w:rsid w:val="00DF41A4"/>
    <w:rsid w:val="00E238C0"/>
    <w:rsid w:val="00E36E02"/>
    <w:rsid w:val="00E37095"/>
    <w:rsid w:val="00E80E3B"/>
    <w:rsid w:val="00EC2C6E"/>
    <w:rsid w:val="00F04B55"/>
    <w:rsid w:val="00F054CF"/>
    <w:rsid w:val="00F27D5C"/>
    <w:rsid w:val="00FB4EE0"/>
    <w:rsid w:val="00FF1A94"/>
    <w:rsid w:val="00FF4E67"/>
    <w:rsid w:val="00FF57EB"/>
    <w:rsid w:val="086E2838"/>
    <w:rsid w:val="09044AD8"/>
    <w:rsid w:val="0A5F2FA9"/>
    <w:rsid w:val="114875EB"/>
    <w:rsid w:val="121542E2"/>
    <w:rsid w:val="1B0E098D"/>
    <w:rsid w:val="229170B1"/>
    <w:rsid w:val="271932D4"/>
    <w:rsid w:val="29982084"/>
    <w:rsid w:val="2C661C9F"/>
    <w:rsid w:val="2E386E12"/>
    <w:rsid w:val="32650F9F"/>
    <w:rsid w:val="32A61AD2"/>
    <w:rsid w:val="367C1473"/>
    <w:rsid w:val="36F73DD1"/>
    <w:rsid w:val="37134773"/>
    <w:rsid w:val="3745693D"/>
    <w:rsid w:val="3ACB0EBA"/>
    <w:rsid w:val="3D2C7F69"/>
    <w:rsid w:val="4252309F"/>
    <w:rsid w:val="46677FC3"/>
    <w:rsid w:val="49746286"/>
    <w:rsid w:val="4E0F0720"/>
    <w:rsid w:val="4F3B5940"/>
    <w:rsid w:val="52A905CE"/>
    <w:rsid w:val="53974751"/>
    <w:rsid w:val="539B7AC9"/>
    <w:rsid w:val="5A5764FE"/>
    <w:rsid w:val="612E4AA0"/>
    <w:rsid w:val="655B1A31"/>
    <w:rsid w:val="657F3B1C"/>
    <w:rsid w:val="6905258B"/>
    <w:rsid w:val="744A18D6"/>
    <w:rsid w:val="745B3701"/>
    <w:rsid w:val="778D1D8C"/>
    <w:rsid w:val="778E7BEF"/>
    <w:rsid w:val="781C7CEB"/>
    <w:rsid w:val="78926E23"/>
    <w:rsid w:val="97AF1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16"/>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99"/>
    <w:pPr>
      <w:snapToGrid w:val="0"/>
    </w:pPr>
    <w:rPr>
      <w:rFonts w:ascii="Arial" w:hAnsi="Arial"/>
    </w:rPr>
  </w:style>
  <w:style w:type="paragraph" w:styleId="5">
    <w:name w:val="Body Text"/>
    <w:basedOn w:val="1"/>
    <w:next w:val="1"/>
    <w:qFormat/>
    <w:uiPriority w:val="0"/>
    <w:rPr>
      <w:rFonts w:ascii="仿宋_GB2312" w:eastAsia="仿宋_GB2312"/>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tabs>
        <w:tab w:val="center" w:pos="4153"/>
        <w:tab w:val="right" w:pos="8306"/>
      </w:tabs>
      <w:snapToGrid w:val="0"/>
      <w:jc w:val="center"/>
    </w:pPr>
    <w:rPr>
      <w:sz w:val="18"/>
      <w:szCs w:val="18"/>
    </w:rPr>
  </w:style>
  <w:style w:type="paragraph" w:styleId="8">
    <w:name w:val="Normal (Web)"/>
    <w:basedOn w:val="1"/>
    <w:qFormat/>
    <w:uiPriority w:val="0"/>
    <w:rPr>
      <w:sz w:val="24"/>
    </w:rPr>
  </w:style>
  <w:style w:type="character" w:styleId="11">
    <w:name w:val="Hyperlink"/>
    <w:basedOn w:val="10"/>
    <w:qFormat/>
    <w:uiPriority w:val="0"/>
    <w:rPr>
      <w:color w:val="0000FF"/>
      <w:u w:val="single"/>
    </w:rPr>
  </w:style>
  <w:style w:type="character" w:customStyle="1" w:styleId="12">
    <w:name w:val="font11"/>
    <w:basedOn w:val="10"/>
    <w:qFormat/>
    <w:uiPriority w:val="0"/>
    <w:rPr>
      <w:rFonts w:hint="eastAsia" w:ascii="仿宋_GB2312" w:eastAsia="仿宋_GB2312" w:cs="仿宋_GB2312"/>
      <w:color w:val="000000"/>
      <w:sz w:val="16"/>
      <w:szCs w:val="16"/>
      <w:u w:val="none"/>
    </w:rPr>
  </w:style>
  <w:style w:type="character" w:customStyle="1" w:styleId="13">
    <w:name w:val="页眉 字符"/>
    <w:basedOn w:val="10"/>
    <w:link w:val="7"/>
    <w:qFormat/>
    <w:uiPriority w:val="0"/>
    <w:rPr>
      <w:rFonts w:eastAsia="仿宋"/>
      <w:kern w:val="2"/>
      <w:sz w:val="18"/>
      <w:szCs w:val="18"/>
    </w:rPr>
  </w:style>
  <w:style w:type="character" w:customStyle="1" w:styleId="14">
    <w:name w:val="页脚 字符"/>
    <w:basedOn w:val="10"/>
    <w:link w:val="6"/>
    <w:qFormat/>
    <w:uiPriority w:val="0"/>
    <w:rPr>
      <w:rFonts w:eastAsia="仿宋"/>
      <w:kern w:val="2"/>
      <w:sz w:val="18"/>
      <w:szCs w:val="18"/>
    </w:rPr>
  </w:style>
  <w:style w:type="paragraph" w:styleId="15">
    <w:name w:val="List Paragraph"/>
    <w:basedOn w:val="1"/>
    <w:unhideWhenUsed/>
    <w:qFormat/>
    <w:uiPriority w:val="99"/>
    <w:pPr>
      <w:ind w:firstLine="420" w:firstLineChars="200"/>
    </w:pPr>
  </w:style>
  <w:style w:type="character" w:customStyle="1" w:styleId="16">
    <w:name w:val="正文文本首行缩进 2 字符"/>
    <w:basedOn w:val="10"/>
    <w:link w:val="2"/>
    <w:qFormat/>
    <w:uiPriority w:val="99"/>
    <w:rPr>
      <w:rFonts w:eastAsia="仿宋"/>
      <w:kern w:val="2"/>
      <w:sz w:val="32"/>
      <w:szCs w:val="24"/>
    </w:rPr>
  </w:style>
  <w:style w:type="character" w:customStyle="1" w:styleId="17">
    <w:name w:val="font01"/>
    <w:basedOn w:val="10"/>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ys</Company>
  <Pages>20</Pages>
  <Words>2008</Words>
  <Characters>11450</Characters>
  <Lines>95</Lines>
  <Paragraphs>26</Paragraphs>
  <TotalTime>157</TotalTime>
  <ScaleCrop>false</ScaleCrop>
  <LinksUpToDate>false</LinksUpToDate>
  <CharactersWithSpaces>13432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2014-11-04T14:56:00Z</dcterms:created>
  <dc:creator>黄允江</dc:creator>
  <cp:lastModifiedBy>chengf</cp:lastModifiedBy>
  <cp:lastPrinted>2025-03-13T08:32:00Z</cp:lastPrinted>
  <dcterms:modified xsi:type="dcterms:W3CDTF">2025-03-19T09:31:51Z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77E26B8F1FB84E4DA907916AF3E23470_13</vt:lpwstr>
  </property>
  <property fmtid="{D5CDD505-2E9C-101B-9397-08002B2CF9AE}" pid="4" name="KSOTemplateDocerSaveRecord">
    <vt:lpwstr>eyJoZGlkIjoiYWQzNTA0NDEzNTk1ZTE1ZGJkZWNlYTZhMzgwYzE3ODEiLCJ1c2VySWQiOiIyMjYxODU3NDIifQ==</vt:lpwstr>
  </property>
</Properties>
</file>